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Treatment outcomes for young people presenting with alcohol as a primary or secondary substance of concern in residential treatment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Researchers</w:t>
      </w:r>
    </w:p>
    <w:p>
      <w:pPr>
        <w:numPr>
          <w:ilvl w:val="0"/>
          <w:numId w:val="1"/>
        </w:numPr>
        <w:spacing w:before="240"/>
        <w:ind w:left="720" w:hanging="280"/>
        <w:jc w:val="both"/>
      </w:pPr>
      <w:r>
        <w:t>Dr John Howard</w:t>
      </w:r>
    </w:p>
    <w:p>
      <w:pPr>
        <w:numPr>
          <w:ilvl w:val="0"/>
          <w:numId w:val="1"/>
        </w:numPr>
        <w:spacing w:after="240"/>
        <w:ind w:left="720" w:hanging="280"/>
        <w:jc w:val="both"/>
      </w:pPr>
      <w:r>
        <w:t>Dr Anthony Arcuri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  <w:jc w:val="left"/>
      </w:pPr>
      <w:r>
        <w:t>Regular and risky drinking is common among many young Australians, leading to significant short and long-term harm; yet little is known about the effectiveness of treatment and rehabilitation programs. There is a paucity of research in this area in relation to Indigenous and non-Indigenous young people and, in particular, the effectiveness of residential treatment for young Indigenous people has received little examination.</w:t>
      </w:r>
    </w:p>
    <w:p>
      <w:pPr>
        <w:spacing w:before="240" w:after="240"/>
        <w:jc w:val="left"/>
      </w:pPr>
      <w:r>
        <w:t>This study explores retention, outcomes, and program satisfaction; and aims to identify client-level predictors of retention; self-reported three-month post-treatment outcomes; and levels and areas of program satisfaction and dissatisfaction.</w:t>
      </w:r>
    </w:p>
    <w:p>
      <w:pPr>
        <w:spacing w:before="240" w:after="240"/>
        <w:jc w:val="left"/>
      </w:pPr>
      <w:r>
        <w:t>The study highlighted several client characteristics that impact on length of stay in treatment and satisfactory outcomes. Significant predictors of lower retention for both Indigenous and non-Indigenous young people were younger age; male gender; a history of major health problems; and a recent transient lifestyle.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  <w:jc w:val="left"/>
      </w:pPr>
      <w:r>
        <w:t>The self-reported outcome analysis demonstrated positive outcomes for substance abuse, physical and mental health, family functioning and criminal behaviour; but not for social functioning.</w:t>
      </w:r>
    </w:p>
    <w:p>
      <w:pPr>
        <w:spacing w:before="240" w:after="240"/>
        <w:jc w:val="left"/>
      </w:pPr>
      <w:r>
        <w:t>Indigenous young people demonstrated less favourable outcomes, although levels of satisfaction were equally high.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Final-Report_Ted-Noffs-Foundation_1326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Treatment outcomes for young people presenting with alcohol as a primary or secondary substance of concern in residential treatment</dc:title>
  <cp:revision>0</cp:revision>
</cp:coreProperties>
</file>