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TOM sidebar drinking guidelines</w:t>
      </w:r>
    </w:p>
    <w:p>
      <w:pPr>
        <w:spacing w:before="240" w:after="240"/>
      </w:pPr>
      <w:r>
        <w:t>If you drink alcohol, aim to have at least 2 alcohol-free days a week, no more than 4 standard drinks a day and no more than 10 standard drinks a week. </w:t>
      </w:r>
    </w:p>
    <w:p>
      <w:pPr>
        <w:spacing w:before="240" w:after="240"/>
      </w:pPr>
      <w:r>
        <w:t>The less alcohol you drink, the lower your risk of harm.</w:t>
      </w:r>
    </w:p>
    <w:p>
      <w:pPr>
        <w:spacing w:before="240" w:after="240"/>
      </w:pPr>
      <w:hyperlink r:id="rId4" w:tgtFrame="_blank" w:history="1">
        <w:r>
          <w:rPr>
            <w:color w:val="FFFFFF"/>
            <w:u w:val="single" w:color="FFFFFF"/>
          </w:rPr>
          <w:t>Learn more</w:t>
        </w:r>
      </w:hyperlink>
      <w:r>
        <w:t xml:space="preserve"> about the Australian Guidelines to reduce health risks from drinking alcohol.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hmrc.gov.au/health-advice/alcoho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sidebar drinking guidelines</dc:title>
  <cp:revision>0</cp:revision>
</cp:coreProperties>
</file>