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Cloud for .NET 23.8.0 -->
  <w:body>
    <w:p>
      <w:pPr>
        <w:pStyle w:val="Heading1"/>
        <w:keepNext w:val="0"/>
        <w:keepLines w:val="0"/>
        <w:spacing w:before="0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  <w:sz w:val="36"/>
          <w:szCs w:val="36"/>
        </w:rPr>
        <w:t>Tasmanian Drug Strategy 2023-2028</w:t>
      </w:r>
    </w:p>
    <w:p>
      <w:pPr>
        <w:spacing w:before="240" w:after="240"/>
      </w:pPr>
      <w:r>
        <w:t xml:space="preserve">The Tasmanian Government has been developing a new Drug Strategy for 2023-2028. The Strategy is intended to provide a whole-of-government and whole-of-community framework to enhance the health, safety, and wellbeing of all Tasmanians. FARE responded to </w:t>
      </w:r>
      <w:hyperlink r:id="rId4" w:tgtFrame="_blank" w:history="1">
        <w:r>
          <w:rPr>
            <w:color w:val="0000EE"/>
            <w:u w:val="single" w:color="0000EE"/>
          </w:rPr>
          <w:t>the final Consultation Draft</w:t>
        </w:r>
      </w:hyperlink>
      <w:r>
        <w:t xml:space="preserve">, and to the </w:t>
      </w:r>
      <w:hyperlink r:id="rId5" w:tgtFrame="_blank" w:history="1">
        <w:r>
          <w:rPr>
            <w:color w:val="0000EE"/>
            <w:u w:val="single" w:color="0000EE"/>
          </w:rPr>
          <w:t>Consultation Paper</w:t>
        </w:r>
      </w:hyperlink>
      <w:r>
        <w:t>.</w:t>
      </w:r>
    </w:p>
    <w:p>
      <w:pPr>
        <w:pStyle w:val="Heading2"/>
        <w:keepNext w:val="0"/>
        <w:keepLines w:val="0"/>
        <w:spacing w:before="299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</w:rPr>
        <w:t>FARE recommendations:</w:t>
      </w:r>
    </w:p>
    <w:p>
      <w:pPr>
        <w:pStyle w:val="Heading3"/>
        <w:keepNext w:val="0"/>
        <w:keepLines w:val="0"/>
        <w:spacing w:before="281" w:after="281"/>
        <w:rPr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i w:val="0"/>
          <w:color w:val="auto"/>
        </w:rPr>
        <w:t>Vision, aim, principles and strategic objectives</w:t>
      </w:r>
    </w:p>
    <w:p>
      <w:pPr>
        <w:numPr>
          <w:ilvl w:val="0"/>
          <w:numId w:val="1"/>
        </w:numPr>
        <w:spacing w:before="240" w:after="240"/>
        <w:ind w:left="720" w:hanging="210"/>
        <w:jc w:val="left"/>
      </w:pPr>
      <w:r>
        <w:t>take a ‘social and commercial determinants of health’ approach, by regulating the inherent conflicts of interest between alcohol harm minimisation, and alcohol companies and their lobbyists.</w:t>
      </w:r>
    </w:p>
    <w:p>
      <w:pPr>
        <w:pStyle w:val="Heading3"/>
        <w:keepNext w:val="0"/>
        <w:keepLines w:val="0"/>
        <w:spacing w:before="281" w:after="281"/>
        <w:rPr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i w:val="0"/>
          <w:color w:val="auto"/>
        </w:rPr>
        <w:t>Prevention</w:t>
      </w:r>
    </w:p>
    <w:p>
      <w:pPr>
        <w:numPr>
          <w:ilvl w:val="0"/>
          <w:numId w:val="2"/>
        </w:numPr>
        <w:spacing w:before="240"/>
        <w:ind w:left="720" w:hanging="210"/>
        <w:jc w:val="left"/>
      </w:pPr>
      <w:r>
        <w:t>build on successful awareness campaigns that avoid stigma such as FARE’s National Fetal Alcohol Spectrum Disorder (FASD) Awareness Campaign ‘</w:t>
      </w:r>
      <w:r>
        <w:rPr>
          <w:i/>
          <w:iCs/>
        </w:rPr>
        <w:t>Every Moment Matters’</w:t>
      </w:r>
      <w:r>
        <w:t>.</w:t>
      </w:r>
    </w:p>
    <w:p>
      <w:pPr>
        <w:numPr>
          <w:ilvl w:val="0"/>
          <w:numId w:val="2"/>
        </w:numPr>
        <w:spacing w:after="240"/>
        <w:ind w:left="720" w:hanging="210"/>
        <w:jc w:val="left"/>
      </w:pPr>
      <w:r>
        <w:t>exclude alcohol companies and their lobby groups from any involvement in the development, delivery or promotion of alcohol, tobacco and other drugs (ATOD) education and resources.</w:t>
      </w:r>
    </w:p>
    <w:p>
      <w:pPr>
        <w:pStyle w:val="Heading3"/>
        <w:keepNext w:val="0"/>
        <w:keepLines w:val="0"/>
        <w:spacing w:before="281" w:after="281"/>
        <w:rPr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i w:val="0"/>
          <w:color w:val="auto"/>
        </w:rPr>
        <w:t>Alcohol</w:t>
      </w:r>
    </w:p>
    <w:p>
      <w:pPr>
        <w:numPr>
          <w:ilvl w:val="0"/>
          <w:numId w:val="3"/>
        </w:numPr>
        <w:spacing w:before="240"/>
        <w:ind w:left="720" w:hanging="210"/>
        <w:jc w:val="left"/>
      </w:pPr>
      <w:r>
        <w:t>exclude alcohol companies and their lobby groups from membership and involvement in the Alcohol Advisory Group.</w:t>
      </w:r>
    </w:p>
    <w:p>
      <w:pPr>
        <w:numPr>
          <w:ilvl w:val="0"/>
          <w:numId w:val="3"/>
        </w:numPr>
        <w:ind w:left="720" w:hanging="210"/>
        <w:jc w:val="left"/>
      </w:pPr>
      <w:r>
        <w:t>follow the priorities of the National Alcohol Strategy in the Alcohol Action Plan.</w:t>
      </w:r>
    </w:p>
    <w:p>
      <w:pPr>
        <w:numPr>
          <w:ilvl w:val="0"/>
          <w:numId w:val="3"/>
        </w:numPr>
        <w:ind w:left="720" w:hanging="210"/>
        <w:jc w:val="left"/>
      </w:pPr>
      <w:r>
        <w:t>follow the priorities of the National FASD Strategic Action Plan in the FASD Action Plan.</w:t>
      </w:r>
    </w:p>
    <w:p>
      <w:pPr>
        <w:numPr>
          <w:ilvl w:val="0"/>
          <w:numId w:val="3"/>
        </w:numPr>
        <w:spacing w:after="240"/>
        <w:ind w:left="720" w:hanging="210"/>
        <w:jc w:val="left"/>
      </w:pPr>
      <w:r>
        <w:t>add activities about regulating online sale and delivery, and promotion and marketing.</w:t>
      </w:r>
    </w:p>
    <w:p>
      <w:pPr>
        <w:pStyle w:val="Heading3"/>
        <w:keepNext w:val="0"/>
        <w:keepLines w:val="0"/>
        <w:spacing w:before="281" w:after="281"/>
        <w:rPr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i w:val="0"/>
          <w:color w:val="auto"/>
        </w:rPr>
        <w:t>Interventions and treatment</w:t>
      </w:r>
    </w:p>
    <w:p>
      <w:pPr>
        <w:numPr>
          <w:ilvl w:val="0"/>
          <w:numId w:val="4"/>
        </w:numPr>
        <w:spacing w:before="240" w:after="240"/>
        <w:ind w:left="720" w:hanging="210"/>
        <w:jc w:val="left"/>
      </w:pPr>
      <w:r>
        <w:t>prioritise funding treatment services, recognising the significant need, significant underfunding, and the significant return on health investment in funding treatment.</w:t>
      </w:r>
    </w:p>
    <w:p>
      <w:pPr>
        <w:pStyle w:val="Heading3"/>
        <w:keepNext w:val="0"/>
        <w:keepLines w:val="0"/>
        <w:spacing w:before="281" w:after="281"/>
        <w:rPr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i w:val="0"/>
          <w:color w:val="auto"/>
        </w:rPr>
        <w:t>Evidence base</w:t>
      </w:r>
    </w:p>
    <w:p>
      <w:pPr>
        <w:numPr>
          <w:ilvl w:val="0"/>
          <w:numId w:val="5"/>
        </w:numPr>
        <w:spacing w:before="240"/>
        <w:ind w:left="720" w:hanging="210"/>
        <w:jc w:val="left"/>
      </w:pPr>
      <w:r>
        <w:t>include policies with an identified evidence base in the implementation plans, including FASD prevention, online sales and delivery of alcohol, and digital alcohol marketing.</w:t>
      </w:r>
    </w:p>
    <w:p>
      <w:pPr>
        <w:numPr>
          <w:ilvl w:val="0"/>
          <w:numId w:val="5"/>
        </w:numPr>
        <w:ind w:left="720" w:hanging="210"/>
        <w:jc w:val="left"/>
      </w:pPr>
      <w:r>
        <w:t>identify evidence and data gaps and commission relevant research.</w:t>
      </w:r>
    </w:p>
    <w:p>
      <w:pPr>
        <w:numPr>
          <w:ilvl w:val="0"/>
          <w:numId w:val="5"/>
        </w:numPr>
        <w:spacing w:after="240"/>
        <w:ind w:left="720" w:hanging="210"/>
        <w:jc w:val="left"/>
      </w:pPr>
      <w:r>
        <w:t>exclude alcohol companies and their lobby groups from any funding or involvement in the development of the evidence base.</w:t>
      </w:r>
    </w:p>
    <w:p>
      <w:pPr>
        <w:pStyle w:val="Heading3"/>
        <w:keepNext w:val="0"/>
        <w:keepLines w:val="0"/>
        <w:spacing w:before="281" w:after="281"/>
        <w:rPr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i w:val="0"/>
          <w:color w:val="auto"/>
        </w:rPr>
        <w:t>Consultation paper</w:t>
      </w:r>
    </w:p>
    <w:p>
      <w:pPr>
        <w:numPr>
          <w:ilvl w:val="0"/>
          <w:numId w:val="6"/>
        </w:numPr>
        <w:spacing w:before="240"/>
        <w:ind w:left="720" w:hanging="210"/>
        <w:jc w:val="left"/>
      </w:pPr>
      <w:r>
        <w:t>address items excluded from this Strategy eg. zero alcohol, liquor licencing and online sales and delivery.</w:t>
      </w:r>
    </w:p>
    <w:p>
      <w:pPr>
        <w:numPr>
          <w:ilvl w:val="0"/>
          <w:numId w:val="6"/>
        </w:numPr>
        <w:spacing w:after="240"/>
        <w:ind w:left="720" w:hanging="210"/>
        <w:jc w:val="left"/>
      </w:pPr>
      <w:r>
        <w:t>specify 2 Two-Year Implementation Action Plans covering each of the Action Areas, with the first to be launched at the end of the first year of this Strategy.</w:t>
      </w:r>
    </w:p>
    <w:p>
      <w:hyperlink r:id="rId6" w:tgtFrame="_blank" w:history="1">
        <w:r>
          <w:rPr>
            <w:color w:val="0000EE"/>
            <w:u w:val="single" w:color="0000EE"/>
          </w:rPr>
          <w:t>view submission</w:t>
        </w:r>
      </w:hyperlink>
    </w:p>
    <w:sectPr>
      <w:pgMar w:header="720" w:footer="72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aus01.safelinks.protection.outlook.com/?url=https%3A%2F%2Fwww.health.tas.gov.au%2Fnode%2F16511&amp;data=05%7C01%7CSteven.Rummukainen%40fare.org.au%7C84a24e0fbe0f4a17648508dbae8e8d7b%7C529fe962c9ab412f8a3ca9731674181d%7C0%7C0%7C638295699526689889%7CUnknown%7CTWFpbGZsb3d8eyJWIjoiMC4wLjAwMDAiLCJQIjoiV2luMzIiLCJBTiI6Ik1haWwiLCJXVCI6Mn0%3D%7C3000%7C%7C%7C&amp;sdata=mtE%2Bu4n2wxCBPsuFZ3OTgThFE8SqurxIF96MXDGYl5w%3D&amp;reserved=0" TargetMode="External" /><Relationship Id="rId5" Type="http://schemas.openxmlformats.org/officeDocument/2006/relationships/hyperlink" Target="https://aus01.safelinks.protection.outlook.com/?url=https%3A%2F%2Fwww.health.tas.gov.au%2Fnode%2F16531&amp;data=05%7C01%7CSteven.Rummukainen%40fare.org.au%7C84a24e0fbe0f4a17648508dbae8e8d7b%7C529fe962c9ab412f8a3ca9731674181d%7C0%7C0%7C638295699526846115%7CUnknown%7CTWFpbGZsb3d8eyJWIjoiMC4wLjAwMDAiLCJQIjoiV2luMzIiLCJBTiI6Ik1haWwiLCJXVCI6Mn0%3D%7C3000%7C%7C%7C&amp;sdata=a5OZ1%2FpzNf8STcEWB%2FSmpffufcxnL9edoS92j0qDj%2BM%3D&amp;reserved=0" TargetMode="External" /><Relationship Id="rId6" Type="http://schemas.openxmlformats.org/officeDocument/2006/relationships/hyperlink" Target="https://fare.org.au/wp-content/uploads/FARE-Submission-Tas-Drug-Strategy-2023-28-consultation.pdf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Tasmanian Drug Strategy 2023-2028</dc:title>
  <cp:revision>0</cp:revision>
</cp:coreProperties>
</file>