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Supplementary submission to the review of the SA Liquor Licensing Act 1997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2016-04-15 13:29:28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This supplementary submission provides illustrative models on a range of alcohol policy topics, and serves as a compendium of practical reference materials that complements the submissions to the review from FARE, SANDAS, PHAA, and RACS.</w:t>
      </w:r>
    </w:p>
    <w:p>
      <w:pPr>
        <w:spacing w:before="240" w:after="240"/>
      </w:pPr>
      <w:r>
        <w:t>This supplementary submission to the review of the South Australia (SA) Liquor Licensing Act 1997 (‘the Review’) provides illustrative models on a range of alcohol policy topics. Where models are not available for a policy topic, research evidence is provided to inform the Review’s consideration of how government may respond to the policy topic in question. This supplementary submission serves as a compendium of practical reference materials that complements the submissions to the Review from: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The Foundation for Alcohol Research and Education (submission #41)</w:t>
      </w:r>
    </w:p>
    <w:p>
      <w:pPr>
        <w:numPr>
          <w:ilvl w:val="0"/>
          <w:numId w:val="1"/>
        </w:numPr>
        <w:ind w:left="720" w:hanging="210"/>
        <w:jc w:val="left"/>
      </w:pPr>
      <w:r>
        <w:t>The South Australia Network of Drug and Alcohol Services (submissions #74 and #75)</w:t>
      </w:r>
    </w:p>
    <w:p>
      <w:pPr>
        <w:numPr>
          <w:ilvl w:val="0"/>
          <w:numId w:val="1"/>
        </w:numPr>
        <w:ind w:left="720" w:hanging="210"/>
        <w:jc w:val="left"/>
      </w:pPr>
      <w:r>
        <w:t>Public Health Association of Australia (submission #67)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The Royal Australasian College of Surgeons (submission #71)</w:t>
      </w:r>
    </w:p>
    <w:p>
      <w:pPr>
        <w:spacing w:before="240" w:after="240"/>
      </w:pPr>
      <w:r>
        <w:t>This supplementary submission has also been informed by input from the National Centre for Education and Training on Addiction at Flinders University, SA.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spacing w:before="240" w:after="240"/>
      </w:pPr>
      <w:r>
        <w:t>The submission provides a model for consideration, accompanied by rationale and additional information and evidence, for each of the following areas.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Policy models that serve the public interest in harm minimisation: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elevating harm minimisation as primary object of the Act</w:t>
      </w:r>
    </w:p>
    <w:p>
      <w:pPr>
        <w:numPr>
          <w:ilvl w:val="0"/>
          <w:numId w:val="2"/>
        </w:numPr>
        <w:ind w:left="720" w:hanging="210"/>
        <w:jc w:val="left"/>
      </w:pPr>
      <w:r>
        <w:t>replacing the “needs” test with a public/community interest test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accounting for the economic burden of alcohol harms.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Policy models that address the availability of liquor:</w:t>
      </w:r>
    </w:p>
    <w:p>
      <w:pPr>
        <w:numPr>
          <w:ilvl w:val="0"/>
          <w:numId w:val="3"/>
        </w:numPr>
        <w:spacing w:before="240"/>
        <w:ind w:left="720" w:hanging="210"/>
        <w:jc w:val="left"/>
      </w:pPr>
      <w:r>
        <w:t>introducing lockouts and reduced licensed trading hours</w:t>
      </w:r>
    </w:p>
    <w:p>
      <w:pPr>
        <w:numPr>
          <w:ilvl w:val="0"/>
          <w:numId w:val="3"/>
        </w:numPr>
        <w:ind w:left="720" w:hanging="210"/>
        <w:jc w:val="left"/>
      </w:pPr>
      <w:r>
        <w:t>introducing licensed outlet density/saturation policies</w:t>
      </w:r>
    </w:p>
    <w:p>
      <w:pPr>
        <w:numPr>
          <w:ilvl w:val="0"/>
          <w:numId w:val="3"/>
        </w:numPr>
        <w:ind w:left="720" w:hanging="210"/>
        <w:jc w:val="left"/>
      </w:pPr>
      <w:r>
        <w:t>addressing the intersection between the planning system and liquor regulation</w:t>
      </w:r>
    </w:p>
    <w:p>
      <w:pPr>
        <w:numPr>
          <w:ilvl w:val="0"/>
          <w:numId w:val="3"/>
        </w:numPr>
        <w:ind w:left="720" w:hanging="210"/>
        <w:jc w:val="left"/>
      </w:pPr>
      <w:r>
        <w:t>regulation of small bars</w:t>
      </w:r>
    </w:p>
    <w:p>
      <w:pPr>
        <w:numPr>
          <w:ilvl w:val="0"/>
          <w:numId w:val="3"/>
        </w:numPr>
        <w:ind w:left="720" w:hanging="210"/>
        <w:jc w:val="left"/>
      </w:pPr>
      <w:r>
        <w:t>introducing risk-based licensing</w:t>
      </w:r>
    </w:p>
    <w:p>
      <w:pPr>
        <w:numPr>
          <w:ilvl w:val="0"/>
          <w:numId w:val="3"/>
        </w:numPr>
        <w:ind w:left="720" w:hanging="210"/>
        <w:jc w:val="left"/>
      </w:pPr>
      <w:r>
        <w:t>modernising secondary supply policies</w:t>
      </w:r>
    </w:p>
    <w:p>
      <w:pPr>
        <w:numPr>
          <w:ilvl w:val="0"/>
          <w:numId w:val="3"/>
        </w:numPr>
        <w:spacing w:after="240"/>
        <w:ind w:left="720" w:hanging="210"/>
        <w:jc w:val="left"/>
      </w:pPr>
      <w:r>
        <w:t>strengthening community input to liquor outlet approvals.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Policy models that address packaged liquor:</w:t>
      </w:r>
    </w:p>
    <w:p>
      <w:pPr>
        <w:numPr>
          <w:ilvl w:val="0"/>
          <w:numId w:val="4"/>
        </w:numPr>
        <w:spacing w:before="240"/>
        <w:ind w:left="720" w:hanging="210"/>
        <w:jc w:val="left"/>
      </w:pPr>
      <w:r>
        <w:t>understanding the contribution of packaged liquor to harms</w:t>
      </w:r>
    </w:p>
    <w:p>
      <w:pPr>
        <w:numPr>
          <w:ilvl w:val="0"/>
          <w:numId w:val="4"/>
        </w:numPr>
        <w:ind w:left="720" w:hanging="210"/>
        <w:jc w:val="left"/>
      </w:pPr>
      <w:r>
        <w:t>moratorium on the sale of liquor in supermarket settings</w:t>
      </w:r>
    </w:p>
    <w:p>
      <w:pPr>
        <w:numPr>
          <w:ilvl w:val="0"/>
          <w:numId w:val="4"/>
        </w:numPr>
        <w:ind w:left="720" w:hanging="210"/>
        <w:jc w:val="left"/>
      </w:pPr>
      <w:r>
        <w:t>regulation of online liquor sales</w:t>
      </w:r>
    </w:p>
    <w:p>
      <w:pPr>
        <w:numPr>
          <w:ilvl w:val="0"/>
          <w:numId w:val="4"/>
        </w:numPr>
        <w:spacing w:after="240"/>
        <w:ind w:left="720" w:hanging="210"/>
        <w:jc w:val="left"/>
      </w:pPr>
      <w:r>
        <w:t>addressing public drinking and “dry” area policies.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Policy models that address the price and promotion of liquor:</w:t>
      </w:r>
    </w:p>
    <w:p>
      <w:pPr>
        <w:numPr>
          <w:ilvl w:val="0"/>
          <w:numId w:val="5"/>
        </w:numPr>
        <w:spacing w:before="240"/>
        <w:ind w:left="720" w:hanging="210"/>
        <w:jc w:val="left"/>
      </w:pPr>
      <w:r>
        <w:t>introducing minimum unit pricing</w:t>
      </w:r>
    </w:p>
    <w:p>
      <w:pPr>
        <w:numPr>
          <w:ilvl w:val="0"/>
          <w:numId w:val="5"/>
        </w:numPr>
        <w:spacing w:after="240"/>
        <w:ind w:left="720" w:hanging="210"/>
        <w:jc w:val="left"/>
      </w:pPr>
      <w:r>
        <w:t>regulation of marketing and promotions.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Policy models for monitoring the market and harms:</w:t>
      </w:r>
    </w:p>
    <w:p>
      <w:pPr>
        <w:numPr>
          <w:ilvl w:val="0"/>
          <w:numId w:val="6"/>
        </w:numPr>
        <w:spacing w:before="240"/>
        <w:ind w:left="720" w:hanging="210"/>
        <w:jc w:val="left"/>
      </w:pPr>
      <w:r>
        <w:t>collection and publication of harms data</w:t>
      </w:r>
    </w:p>
    <w:p>
      <w:pPr>
        <w:numPr>
          <w:ilvl w:val="0"/>
          <w:numId w:val="6"/>
        </w:numPr>
        <w:ind w:left="720" w:hanging="210"/>
        <w:jc w:val="left"/>
      </w:pPr>
      <w:r>
        <w:t>collection and publication of alcohol sales data</w:t>
      </w:r>
    </w:p>
    <w:p>
      <w:pPr>
        <w:numPr>
          <w:ilvl w:val="0"/>
          <w:numId w:val="6"/>
        </w:numPr>
        <w:spacing w:after="240"/>
        <w:ind w:left="720" w:hanging="210"/>
        <w:jc w:val="left"/>
      </w:pPr>
      <w:r>
        <w:t>investing in compliance and enforcement.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Review-of-the-SA-Liquor-Licensing-Act-1997-Supplementary-Submission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submission to the review of the SA Liquor Licensing Act 1997</dc:title>
  <cp:revision>0</cp:revision>
</cp:coreProperties>
</file>