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Review of Australian Charities and Not-for-profits Commission (ACNC) legislation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2018-02-28 12:46:47</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As a health promotion charity registered with the ACNC, FARE responded to the Commonwealth Government's invitation to comment on its review of of the ACNC Act 2012 and the ACNC (Consequential and Transitional) Act 2012.</w:t>
      </w:r>
    </w:p>
    <w:p>
      <w:pPr>
        <w:spacing w:before="240" w:after="240"/>
      </w:pPr>
      <w:r>
        <w:t>As a health promotion charity registered with the Australian Charities and Not-for-profits Commission (ACNC), the Foundation for Alcohol Research and Education (FARE) responded to the Commonwealth Government's invitation to comment on its review of of the </w:t>
      </w:r>
      <w:r>
        <w:rPr>
          <w:i/>
          <w:iCs/>
        </w:rPr>
        <w:t>Australian Charities and Not-for-profits Commission Act 2012 </w:t>
      </w:r>
      <w:r>
        <w:t>and the</w:t>
      </w:r>
      <w:r>
        <w:rPr>
          <w:i/>
          <w:iCs/>
        </w:rPr>
        <w:t> Australian Charities and Not-for-profits Commission (Consequential and Transitional) Act 2012.</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 recommended that any reform of the ACNC legislation should be guided by principles that ensure a sustainable NFP sector. FARE developed four principles to guide the review of ACNC legislation, including:</w:t>
      </w:r>
    </w:p>
    <w:p>
      <w:pPr>
        <w:numPr>
          <w:ilvl w:val="0"/>
          <w:numId w:val="1"/>
        </w:numPr>
        <w:spacing w:before="240"/>
        <w:ind w:left="720" w:hanging="280"/>
        <w:jc w:val="left"/>
      </w:pPr>
      <w:r>
        <w:t>A continued focus on charitable purpose (or purposes) that is of public benefit.</w:t>
      </w:r>
    </w:p>
    <w:p>
      <w:pPr>
        <w:numPr>
          <w:ilvl w:val="0"/>
          <w:numId w:val="1"/>
        </w:numPr>
        <w:ind w:left="720" w:hanging="280"/>
        <w:jc w:val="left"/>
      </w:pPr>
      <w:r>
        <w:t>Advocacy in pursuit of a charitable purpose is seen as a legitimate activity.</w:t>
      </w:r>
    </w:p>
    <w:p>
      <w:pPr>
        <w:numPr>
          <w:ilvl w:val="0"/>
          <w:numId w:val="1"/>
        </w:numPr>
        <w:ind w:left="720" w:hanging="280"/>
        <w:jc w:val="left"/>
      </w:pPr>
      <w:r>
        <w:t>Governance and administration processes should be clear and efficient.</w:t>
      </w:r>
    </w:p>
    <w:p>
      <w:pPr>
        <w:numPr>
          <w:ilvl w:val="0"/>
          <w:numId w:val="1"/>
        </w:numPr>
        <w:spacing w:after="240"/>
        <w:ind w:left="720" w:hanging="280"/>
        <w:jc w:val="left"/>
      </w:pPr>
      <w:r>
        <w:t>Governance and administration must be beyond political interference.</w:t>
      </w:r>
    </w:p>
    <w:p>
      <w:pPr>
        <w:spacing w:before="240" w:after="240"/>
      </w:pPr>
      <w:r>
        <w:t>FARE’s positions and comments on the Review of Australian Charities and Not-for-profits Commission (ACNC) legislation are informed by these principles.</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CNC-legislation-submission-28-Feb-2018.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Review of Australian Charities and Not-for-profits Commission (ACNC) legislation</dc:title>
  <cp:revision>0</cp:revision>
</cp:coreProperties>
</file>