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Queensland Government’s Draft Domestic and Family Violence Prevention Strategy 2015-2025</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2015-11-01 14:22:19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 and PHAA provided a submission with comments on the Australian Labor Party’s National Platform Consultation Draft concerning chronic disease and preventive health. The suggested amendments provide the opportunity to reposition preventive health and reduce the burden of chronic disease in Australia.</w:t>
      </w:r>
    </w:p>
    <w:p>
      <w:pPr>
        <w:spacing w:before="240" w:after="240"/>
      </w:pPr>
      <w:r>
        <w:t xml:space="preserve">The Foundation for Alcohol Research for Education (FARE) provided a submission to the Queensland Government’s </w:t>
      </w:r>
      <w:r>
        <w:rPr>
          <w:i/>
          <w:iCs/>
        </w:rPr>
        <w:t>Draft Domestic and Family Violence Prevention Strategy 2015-2025</w:t>
      </w:r>
      <w:r>
        <w:t xml:space="preserve"> which outlines a number of recommendations to ensure that alcohol is sufficiently recognised as part of the solution to reduce and prevent family violence across Queensland.</w:t>
      </w:r>
    </w:p>
    <w:p>
      <w:pPr>
        <w:spacing w:before="240" w:after="240"/>
      </w:pPr>
      <w:r>
        <w:t>We can no longer afford to ignore the role of alcohol in family violence. In order to combat family violence, the Queensland Government’s strategy must emphasise prevention and include specific strategies that address alcohol. Doing so will have immediate and positive impacts on the incidence of family violence, while enhancing the safety and well-being of children and families affected by family violence.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 xml:space="preserve">That the </w:t>
      </w:r>
      <w:r>
        <w:rPr>
          <w:i/>
          <w:iCs/>
        </w:rPr>
        <w:t xml:space="preserve">Domestic and Family Violence Prevention Strategy 2015-2025 </w:t>
      </w:r>
      <w:r>
        <w:t>acknowledges that alcohol is a significant contributor to family violence.</w:t>
      </w:r>
    </w:p>
    <w:p>
      <w:pPr>
        <w:numPr>
          <w:ilvl w:val="0"/>
          <w:numId w:val="1"/>
        </w:numPr>
        <w:ind w:left="720" w:hanging="280"/>
        <w:jc w:val="left"/>
      </w:pPr>
      <w:r>
        <w:t xml:space="preserve">That the </w:t>
      </w:r>
      <w:r>
        <w:rPr>
          <w:i/>
          <w:iCs/>
        </w:rPr>
        <w:t xml:space="preserve">Domestic and Family Violence Prevention Strategy 2015-2015 </w:t>
      </w:r>
      <w:r>
        <w:t>includes a greater focus on primary and secondary prevention.</w:t>
      </w:r>
    </w:p>
    <w:p>
      <w:pPr>
        <w:numPr>
          <w:ilvl w:val="0"/>
          <w:numId w:val="1"/>
        </w:numPr>
        <w:ind w:left="720" w:hanging="280"/>
        <w:jc w:val="left"/>
      </w:pPr>
      <w:r>
        <w:t xml:space="preserve">That the </w:t>
      </w:r>
      <w:r>
        <w:rPr>
          <w:i/>
          <w:iCs/>
        </w:rPr>
        <w:t xml:space="preserve">Domestic and Family Violence Prevention Strategy 2015-2025 </w:t>
      </w:r>
      <w:r>
        <w:t xml:space="preserve">addresses the Senate Finance and Public Administration References Committee’s recommendation to consider the Foundation for Alcohol Research and Education’s </w:t>
      </w:r>
      <w:r>
        <w:rPr>
          <w:i/>
          <w:iCs/>
        </w:rPr>
        <w:t xml:space="preserve">National framework for action to prevent alcohol-related family violence. </w:t>
      </w:r>
    </w:p>
    <w:p>
      <w:pPr>
        <w:numPr>
          <w:ilvl w:val="0"/>
          <w:numId w:val="1"/>
        </w:numPr>
        <w:spacing w:after="240"/>
        <w:ind w:left="720" w:hanging="280"/>
        <w:jc w:val="left"/>
      </w:pPr>
      <w:r>
        <w:t xml:space="preserve">That the </w:t>
      </w:r>
      <w:r>
        <w:rPr>
          <w:i/>
          <w:iCs/>
        </w:rPr>
        <w:t xml:space="preserve">Domestic and Family Violence Prevention Strategy 2015-2025 </w:t>
      </w:r>
      <w:r>
        <w:t xml:space="preserve">includes tangible policies to address alcohol-related family violence as outlined in the Foundation for Alcohol Research and Education’s </w:t>
      </w:r>
      <w:r>
        <w:rPr>
          <w:i/>
          <w:iCs/>
        </w:rPr>
        <w:t>National framework for action to prevent alcohol-related family violence.</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Submission-to-the-Queensland-Governments-Draft-Domestic-and-Family-Violence-Prevention-Strategy.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Queensland Government’s Draft Domestic and Family Violence Prevention Strategy 2015-2025</dc:title>
  <cp:revision>0</cp:revision>
</cp:coreProperties>
</file>