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2013 Australian Dietary Guidelines review stakeholder scoping survey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2021-03-12 11:57:33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This week FARE submitted to 2013 Australian Dietary Guidelines review stakeholder scoping survey.</w:t>
      </w:r>
    </w:p>
    <w:p>
      <w:pPr>
        <w:spacing w:before="240" w:after="240"/>
      </w:pPr>
      <w:r>
        <w:t>This week FARE submitted to the 2013 Australian Dietary Guidelines review stakeholder scoping survey.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 as pdf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0"/>
        <w:gridCol w:w="616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otw_content_sidebars_settings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Array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Submission-to-the-2013-Australian-Dietary-Guidelines-review-stakeholder-scoping-survey_FARE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Australian Dietary Guidelines review stakeholder scoping survey</dc:title>
  <cp:revision>0</cp:revision>
</cp:coreProperties>
</file>