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the ACT Legislative Assembly Inquiry into Domestic and Family Violence – Policy approaches and responses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2017-09-22 16:55:37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welcomed the opportunity to provide a submission to the Legislative Assembly Inquiry into Domestic and Family Violence – Policy approaches and responses.</w:t>
      </w:r>
    </w:p>
    <w:p>
      <w:pPr>
        <w:spacing w:before="240" w:after="240"/>
      </w:pPr>
      <w:r>
        <w:t>Family violence is an abhorrent violation of human rights, and alcohol is a significant contributor to family violence in the Australian Capital Territory (ACT). It is encouraging to see that family and intimate partner violence is rightfully a prominent issue on government agendas across Australia.</w:t>
      </w:r>
      <w:r>
        <w:br/>
      </w:r>
      <w:r>
        <w:t>The Foundation for Alcohol Research and Education (FARE) welcomes the opportunity to provide a submission to the Legislative Assembly Inquiry into Domestic and Family Violence – Policy approaches and responses.</w:t>
      </w:r>
      <w:r>
        <w:br/>
      </w:r>
      <w:r>
        <w:t>This submission draws on the literature of what is known about alcohol-related family violence. This includes evidence on the relationship between alcohol and family violence and the actions that can be taken to reduce alcohol-related family violence.</w:t>
      </w:r>
    </w:p>
    <w:p>
      <w:pPr>
        <w:spacing w:before="240" w:after="240"/>
      </w:pPr>
      <w:r>
        <w:t>This submission makes 15 recommendations to The Inquiry on how the ACT Government should work to reduce the incidence of alcohol-related family violence; and makes the strong argument that we need a plan that addresses the harm associated with packaged liquor, and takes action on the insidious nature of alcohol marketing and the impact this is having on our children.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 xml:space="preserve">Define family violence as a harm within the objects and principles of the </w:t>
      </w:r>
      <w:r>
        <w:rPr>
          <w:i/>
          <w:iCs/>
        </w:rPr>
        <w:t xml:space="preserve">Liquor Act 2010 </w:t>
      </w:r>
      <w:r>
        <w:t>by amending section 10(c) and inserting (v) family violence.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Amend the </w:t>
      </w:r>
      <w:r>
        <w:rPr>
          <w:i/>
          <w:iCs/>
        </w:rPr>
        <w:t>Liquor Act 2010</w:t>
      </w:r>
      <w:r>
        <w:t xml:space="preserve"> and introduce the following restrictions to the hours that alcohol is available for sale for both on-licence premises (bars, pubs and clubs) and off-licence premises (bottle shops): </w:t>
      </w:r>
    </w:p>
    <w:p>
      <w:pPr>
        <w:numPr>
          <w:ilvl w:val="1"/>
          <w:numId w:val="1"/>
        </w:numPr>
        <w:ind w:left="1440" w:hanging="267"/>
        <w:jc w:val="left"/>
      </w:pPr>
      <w:r>
        <w:t>Introduce last drinks of no later than 3am for on-licence venues.</w:t>
      </w:r>
    </w:p>
    <w:p>
      <w:pPr>
        <w:numPr>
          <w:ilvl w:val="1"/>
          <w:numId w:val="1"/>
        </w:numPr>
        <w:ind w:left="1440" w:hanging="280"/>
        <w:jc w:val="left"/>
      </w:pPr>
      <w:r>
        <w:t>Limit off-licence trading hours to between 10am and 10pm.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Amend the </w:t>
      </w:r>
      <w:r>
        <w:rPr>
          <w:i/>
          <w:iCs/>
        </w:rPr>
        <w:t>Liquor Act 2010</w:t>
      </w:r>
      <w:r>
        <w:t xml:space="preserve"> to introduce tighter controls on the density of liquor licences in the ACT, including: </w:t>
      </w:r>
    </w:p>
    <w:p>
      <w:pPr>
        <w:numPr>
          <w:ilvl w:val="1"/>
          <w:numId w:val="1"/>
        </w:numPr>
        <w:ind w:left="1440" w:hanging="267"/>
        <w:jc w:val="left"/>
      </w:pPr>
      <w:r>
        <w:t>Ensuring that approval processes for new on and off-licence premises consider existing levels of alcohol harm and community views.</w:t>
      </w:r>
    </w:p>
    <w:p>
      <w:pPr>
        <w:numPr>
          <w:ilvl w:val="1"/>
          <w:numId w:val="1"/>
        </w:numPr>
        <w:ind w:left="1440" w:hanging="280"/>
        <w:jc w:val="left"/>
      </w:pPr>
      <w:r>
        <w:t>Interventions that limit or reduce the density of liquor licences in areas with significant levels of alcohol harm through the introduction of special control zones and licence buy-backs.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Strengthen enforcement and compliance of the regulations under Section 29 (1)(c)(i) of the </w:t>
      </w:r>
      <w:r>
        <w:rPr>
          <w:i/>
          <w:iCs/>
        </w:rPr>
        <w:t>Liquor Regulations 2010</w:t>
      </w:r>
      <w:r>
        <w:t xml:space="preserve"> that ban all forms of sexualised alcohol advertising and promotional material.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Include provisions under regulation 29 of the </w:t>
      </w:r>
      <w:r>
        <w:rPr>
          <w:i/>
          <w:iCs/>
        </w:rPr>
        <w:t>Liquor Regulations 2010</w:t>
      </w:r>
      <w:r>
        <w:t xml:space="preserve"> that: </w:t>
      </w:r>
    </w:p>
    <w:p>
      <w:pPr>
        <w:numPr>
          <w:ilvl w:val="1"/>
          <w:numId w:val="1"/>
        </w:numPr>
        <w:ind w:left="1440" w:hanging="267"/>
        <w:jc w:val="left"/>
      </w:pPr>
      <w:r>
        <w:t>Declare ‘shopper dockets’ (liquor promotion vouchers on the receipts for purchases) a prohibited promotional activity.</w:t>
      </w:r>
    </w:p>
    <w:p>
      <w:pPr>
        <w:numPr>
          <w:ilvl w:val="1"/>
          <w:numId w:val="1"/>
        </w:numPr>
        <w:ind w:left="1440" w:hanging="280"/>
        <w:jc w:val="left"/>
      </w:pPr>
      <w:r>
        <w:t>Prohibit point of sale promotional materials for liquor, such as free gifts with purchase, prominent signage, competitions, price discounts for bulk purchases, and sale prices.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Strengthen the current policy to prohibit the placement of alcohol promotions in public spaces, as well as on all ACT Government property not just public buses and include this as a provision under regulation 29 of the </w:t>
      </w:r>
      <w:r>
        <w:rPr>
          <w:i/>
          <w:iCs/>
        </w:rPr>
        <w:t>Liquor Regulations 2010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Develop and fund Models of Care between alcohol and other drug services, mental health services, intimate partner violence services, perpetrator programs and child protection services, which incorporate: </w:t>
      </w:r>
    </w:p>
    <w:p>
      <w:pPr>
        <w:numPr>
          <w:ilvl w:val="1"/>
          <w:numId w:val="1"/>
        </w:numPr>
        <w:ind w:left="1440" w:hanging="267"/>
        <w:jc w:val="left"/>
      </w:pPr>
      <w:r>
        <w:t>Common risk assessment frameworks with a shared understanding of alcohol and family violence.</w:t>
      </w:r>
    </w:p>
    <w:p>
      <w:pPr>
        <w:numPr>
          <w:ilvl w:val="1"/>
          <w:numId w:val="1"/>
        </w:numPr>
        <w:ind w:left="1440" w:hanging="280"/>
        <w:jc w:val="left"/>
      </w:pPr>
      <w:r>
        <w:t>Inter-sectoral and joint training between sectors.</w:t>
      </w:r>
    </w:p>
    <w:p>
      <w:pPr>
        <w:numPr>
          <w:ilvl w:val="1"/>
          <w:numId w:val="1"/>
        </w:numPr>
        <w:ind w:left="1440" w:hanging="267"/>
        <w:jc w:val="left"/>
      </w:pPr>
      <w:r>
        <w:t>Joint guidelines and systems that facilitate information sharing about the well-being and safety of clients’ children between alcohol and other drug services and child protection services.</w:t>
      </w:r>
    </w:p>
    <w:p>
      <w:pPr>
        <w:numPr>
          <w:ilvl w:val="0"/>
          <w:numId w:val="1"/>
        </w:numPr>
        <w:ind w:left="720" w:hanging="280"/>
        <w:jc w:val="left"/>
      </w:pPr>
      <w:r>
        <w:t xml:space="preserve">Establish a swift, certain and fair pilot modelled off the </w:t>
      </w:r>
      <w:r>
        <w:rPr>
          <w:i/>
          <w:iCs/>
        </w:rPr>
        <w:t>24/7 Sobriety Project</w:t>
      </w:r>
      <w:r>
        <w:t xml:space="preserve"> and implement alongside other behaviour change, family violence and alcohol and other drug services.</w:t>
      </w:r>
    </w:p>
    <w:p>
      <w:pPr>
        <w:numPr>
          <w:ilvl w:val="0"/>
          <w:numId w:val="1"/>
        </w:numPr>
        <w:ind w:left="720" w:hanging="280"/>
        <w:jc w:val="left"/>
      </w:pPr>
      <w:r>
        <w:t>Evaluate current and past family violence education programs and update existing programs and resources to include alcohol’s role in family violence.</w:t>
      </w:r>
    </w:p>
    <w:p>
      <w:pPr>
        <w:numPr>
          <w:ilvl w:val="0"/>
          <w:numId w:val="1"/>
        </w:numPr>
        <w:ind w:left="720" w:hanging="400"/>
        <w:jc w:val="left"/>
      </w:pPr>
      <w:r>
        <w:t>Implement a territory wide school-based family violence education campaign or program that addresses attitudes and behaviours that normalise and tolerate gender-based or family violence, holds perpetrators accountable and acknowledges the role of alcohol in family violence.</w:t>
      </w:r>
    </w:p>
    <w:p>
      <w:pPr>
        <w:numPr>
          <w:ilvl w:val="0"/>
          <w:numId w:val="1"/>
        </w:numPr>
        <w:ind w:left="720" w:hanging="400"/>
        <w:jc w:val="left"/>
      </w:pPr>
      <w:r>
        <w:t>Update the Interactive Crime Statistics Map to include rates of family violence.</w:t>
      </w:r>
    </w:p>
    <w:p>
      <w:pPr>
        <w:numPr>
          <w:ilvl w:val="0"/>
          <w:numId w:val="1"/>
        </w:numPr>
        <w:ind w:left="720" w:hanging="400"/>
        <w:jc w:val="left"/>
      </w:pPr>
      <w:r>
        <w:t>Police reporting of family violence should be comprehensive and report on the type of incident, where and when it occurred and whether alcohol was involved.</w:t>
      </w:r>
    </w:p>
    <w:p>
      <w:pPr>
        <w:numPr>
          <w:ilvl w:val="0"/>
          <w:numId w:val="1"/>
        </w:numPr>
        <w:ind w:left="720" w:hanging="400"/>
        <w:jc w:val="left"/>
      </w:pPr>
      <w:r>
        <w:t>Ensure that plans and programs for family violence are appropriately evaluated so that they can inform future practice.</w:t>
      </w:r>
    </w:p>
    <w:p>
      <w:pPr>
        <w:numPr>
          <w:ilvl w:val="0"/>
          <w:numId w:val="1"/>
        </w:numPr>
        <w:ind w:left="720" w:hanging="400"/>
        <w:jc w:val="left"/>
      </w:pPr>
      <w:r>
        <w:t xml:space="preserve">The collection of alcohol sales data in the ACT should be enhanced by: </w:t>
      </w:r>
    </w:p>
    <w:p>
      <w:pPr>
        <w:numPr>
          <w:ilvl w:val="1"/>
          <w:numId w:val="1"/>
        </w:numPr>
        <w:ind w:left="1440" w:hanging="267"/>
        <w:jc w:val="left"/>
      </w:pPr>
      <w:r>
        <w:t xml:space="preserve">Amending Part 1.5 of Schedule 1 of the </w:t>
      </w:r>
      <w:r>
        <w:rPr>
          <w:i/>
          <w:iCs/>
        </w:rPr>
        <w:t>Liquor Regulations 2010</w:t>
      </w:r>
      <w:r>
        <w:t xml:space="preserve"> to include the collection of cider sales as part of wholesale data collection.</w:t>
      </w:r>
    </w:p>
    <w:p>
      <w:pPr>
        <w:numPr>
          <w:ilvl w:val="1"/>
          <w:numId w:val="1"/>
        </w:numPr>
        <w:ind w:left="1440" w:hanging="280"/>
        <w:jc w:val="left"/>
      </w:pPr>
      <w:r>
        <w:t xml:space="preserve">Amending Part 1.5 of the </w:t>
      </w:r>
      <w:r>
        <w:rPr>
          <w:i/>
          <w:iCs/>
        </w:rPr>
        <w:t>Liquor Regulations 2010</w:t>
      </w:r>
      <w:r>
        <w:t xml:space="preserve"> to assist licensee reporting of alcohol purchases to the Commissioner of Fair Trading by including a definition of ‘wholesaler’.</w:t>
      </w:r>
    </w:p>
    <w:p>
      <w:pPr>
        <w:numPr>
          <w:ilvl w:val="1"/>
          <w:numId w:val="1"/>
        </w:numPr>
        <w:ind w:left="1440" w:hanging="267"/>
        <w:jc w:val="left"/>
      </w:pPr>
      <w:r>
        <w:t xml:space="preserve">Implementing the recommendations made by the Centre for Alcohol Policy Research in </w:t>
      </w:r>
      <w:r>
        <w:rPr>
          <w:i/>
          <w:iCs/>
        </w:rPr>
        <w:t>Understanding alcohol sales data in Australia.</w:t>
      </w:r>
    </w:p>
    <w:p>
      <w:pPr>
        <w:numPr>
          <w:ilvl w:val="0"/>
          <w:numId w:val="1"/>
        </w:numPr>
        <w:spacing w:after="240"/>
        <w:ind w:left="720" w:hanging="400"/>
        <w:jc w:val="left"/>
      </w:pPr>
      <w:r>
        <w:t>Establish a liquor licence tracking map, modelled on the Victorian map, with geo-located information on the incidence of alcohol harm from ambulance services and police.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50"/>
        <w:gridCol w:w="616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otw_content_sidebars_settings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Array</w:t>
            </w:r>
          </w:p>
        </w:tc>
      </w:tr>
    </w:tbl>
    <w:p>
      <w:pPr>
        <w:rPr>
          <w:rFonts w:ascii="Times New Roman" w:eastAsia="Times New Roman" w:hAnsi="Times New Roman" w:cs="Times New Roman"/>
          <w:i w:val="0"/>
          <w:color w:val="auto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FARE-submission-ACT-inquiry-into-family-violence-policies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ACT Legislative Assembly Inquiry into Domestic and Family Violence – Policy approaches and responses</dc:title>
  <cp:revision>0</cp:revision>
</cp:coreProperties>
</file>