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Policy options paper: Preventing alcohol-related family and domestic violence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Foundation for Alcohol Research and Education (FARE).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 xml:space="preserve">The purpose of this </w:t>
      </w:r>
      <w:r>
        <w:rPr>
          <w:i/>
          <w:iCs/>
        </w:rPr>
        <w:t>Policy Options Paper</w:t>
      </w:r>
      <w:r>
        <w:t xml:space="preserve"> is to propose policies and programs to Australian governments for the prevention of alcohol-related family and domestic violence. The policy and program options being proposed have been developed in consultation with professionals with expertise in public health, child protection and domestic violence.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 xml:space="preserve">This </w:t>
      </w:r>
      <w:r>
        <w:rPr>
          <w:i/>
          <w:iCs/>
        </w:rPr>
        <w:t>Policy Options Paper</w:t>
      </w:r>
      <w:r>
        <w:t xml:space="preserve"> uses a public health model of prevention to present policy and program options. The public health model of prevention is grounded in scientific principles and evidence and has been used extensively to address a range of health issues.</w:t>
      </w:r>
    </w:p>
    <w:p>
      <w:pPr>
        <w:spacing w:before="240" w:after="240"/>
        <w:jc w:val="left"/>
      </w:pPr>
      <w:r>
        <w:t>The public health model aims to improve social equity as a way to reduce health disparities across populations. Family and domestic violence is a health disparity issue, as well as a social justice issue. These two issues are inextricably interlinked and interwoven when examining alcohol-related family and domestic violence. Using a public health model allows for a comprehensive framework to be developed that acknowledges the need to address health and gender inequalities to overcome family and domestic violence.</w:t>
      </w:r>
    </w:p>
    <w:p>
      <w:pPr>
        <w:spacing w:before="240" w:after="240"/>
        <w:jc w:val="left"/>
      </w:pPr>
      <w:r>
        <w:t xml:space="preserve">The policy and program options are presented through the four levels of prevention: primordial, primary, secondary and tertiary. This allows for the </w:t>
      </w:r>
      <w:r>
        <w:rPr>
          <w:i/>
          <w:iCs/>
        </w:rPr>
        <w:t>Policy Options Paper</w:t>
      </w:r>
      <w:r>
        <w:t xml:space="preserve"> to propose policies from prevention through to supporting those affected by violence.</w:t>
      </w:r>
    </w:p>
    <w:p>
      <w:pPr>
        <w:spacing w:before="240" w:after="240"/>
        <w:jc w:val="left"/>
      </w:pPr>
      <w:r>
        <w:rPr>
          <w:b/>
          <w:bCs/>
        </w:rPr>
        <w:t>This draft </w:t>
      </w:r>
      <w:r>
        <w:rPr>
          <w:b/>
          <w:bCs/>
          <w:i/>
          <w:iCs/>
        </w:rPr>
        <w:t>Policy Options Paper</w:t>
      </w:r>
      <w:r>
        <w:rPr>
          <w:b/>
          <w:bCs/>
        </w:rPr>
        <w:t xml:space="preserve"> was open for consultation during February and March 2015 as part of an ongoing consultation process to inform the development of a final policy position paper. The resulting </w:t>
      </w:r>
      <w:hyperlink r:id="rId4" w:history="1">
        <w:r>
          <w:rPr>
            <w:b/>
            <w:bCs/>
            <w:i/>
            <w:iCs/>
            <w:color w:val="0000EE"/>
            <w:u w:val="single" w:color="0000EE"/>
          </w:rPr>
          <w:t>National framework for action to prevent alcohol-related family violence</w:t>
        </w:r>
      </w:hyperlink>
      <w:r>
        <w:rPr>
          <w:b/>
          <w:bCs/>
        </w:rPr>
        <w:t xml:space="preserve"> was presented to decision makers in June 2015.</w:t>
      </w:r>
    </w:p>
    <w:p>
      <w:hyperlink r:id="rId5" w:tgtFrame="_blank" w:history="1">
        <w:r>
          <w:rPr>
            <w:color w:val="0000EE"/>
            <w:u w:val="single" w:color="0000EE"/>
          </w:rPr>
          <w:t>view the draft</w:t>
        </w:r>
      </w:hyperlink>
    </w:p>
    <w:p>
      <w:hyperlink r:id="rId6" w:tgtFrame="_blank" w:history="1">
        <w:r>
          <w:rPr>
            <w:color w:val="0000EE"/>
            <w:u w:val="single" w:color="0000EE"/>
          </w:rPr>
          <w:t>view the final</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national-framework-for-action-to-prevent-alcohol-related-family-violence" TargetMode="External" /><Relationship Id="rId5" Type="http://schemas.openxmlformats.org/officeDocument/2006/relationships/hyperlink" Target="https://www.fare.org.au/wp-content/uploads/FARE-Policy-Options-Paper-Preventing-alcohol-related-FDV.pdf" TargetMode="External" /><Relationship Id="rId6" Type="http://schemas.openxmlformats.org/officeDocument/2006/relationships/hyperlink" Target="https://fare.org.au/national-framework-for-action-to-prevent-alcohol-related-family-violence/"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options paper: Preventing alcohol-related family and domestic violence</dc:title>
  <cp:revision>0</cp:revision>
</cp:coreProperties>
</file>