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to National Cabinet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Open letter: Action on alcohol must be part of discussions for National Cabinet on men’s violence against women </w:t>
      </w:r>
    </w:p>
    <w:p>
      <w:pPr>
        <w:spacing w:before="240" w:after="240"/>
      </w:pPr>
      <w:r>
        <w:t>Dear Prime Minister, Premiers and Chief Ministers,</w:t>
      </w:r>
    </w:p>
    <w:p>
      <w:pPr>
        <w:spacing w:before="240" w:after="240"/>
      </w:pPr>
      <w:r>
        <w:t>We are writing to you to implore you to include alcohol harm reduction measures as part of actions to prevent violence against women and children. </w:t>
      </w:r>
    </w:p>
    <w:p>
      <w:pPr>
        <w:spacing w:before="240" w:after="240"/>
      </w:pPr>
      <w:r>
        <w:t>We welcome the ongoing focus by governments across Australia and the identified need to take immediate action to prevent more women and children from dying or being harmed. </w:t>
      </w:r>
    </w:p>
    <w:p>
      <w:pPr>
        <w:spacing w:before="240" w:after="240"/>
      </w:pPr>
      <w:r>
        <w:t>It is our view as the leaders of community, health and Aboriginal organisations that if we are going to prevent family violence, we need to ensure that better regulating alcohol is part of the suite of measures that are adopted. </w:t>
      </w:r>
    </w:p>
    <w:p>
      <w:pPr>
        <w:spacing w:before="240" w:after="240"/>
      </w:pPr>
      <w:r>
        <w:t>We support the recommendation made in the recent White Paper on Primary Prevention released by Jess Hill and Professor Michael Salter that outlines that governments need to address the commercial determinants of violence - including alcohol.  </w:t>
      </w:r>
    </w:p>
    <w:p>
      <w:pPr>
        <w:spacing w:before="240" w:after="240"/>
      </w:pPr>
      <w:r>
        <w:t>As Ms Hill and Professor Salter say in the White Paper ‘Violence prevention frameworks around gender-based violence in Australia have been reluctant to tackle wealthy industries that are profiting from violence against women, such as pornography and the technology sector, and the multi-billion dollar alcohol and gambling industries.’ </w:t>
      </w:r>
    </w:p>
    <w:p>
      <w:pPr>
        <w:spacing w:before="240" w:after="240"/>
      </w:pPr>
      <w:r>
        <w:t xml:space="preserve">The data clearly demonstrates that alcohol is a significant contributor to family violence, with </w:t>
      </w:r>
      <w:hyperlink r:id="rId4" w:tgtFrame="_blank" w:history="1">
        <w:r>
          <w:rPr>
            <w:color w:val="0000EE"/>
            <w:u w:val="single" w:color="0000EE"/>
          </w:rPr>
          <w:t>alcohol involved in between 23 and 65 per cent</w:t>
        </w:r>
      </w:hyperlink>
      <w:r>
        <w:t xml:space="preserve"> of all family violence incidents reported by police.   </w:t>
      </w:r>
    </w:p>
    <w:p>
      <w:pPr>
        <w:spacing w:before="240" w:after="240"/>
      </w:pPr>
      <w:r>
        <w:t xml:space="preserve">The use of </w:t>
      </w:r>
      <w:hyperlink r:id="rId5" w:tgtFrame="_blank" w:history="1">
        <w:r>
          <w:rPr>
            <w:color w:val="0000EE"/>
            <w:u w:val="single" w:color="0000EE"/>
          </w:rPr>
          <w:t>alcohol by perpetrators of violence</w:t>
        </w:r>
      </w:hyperlink>
      <w:r>
        <w:t xml:space="preserve"> also increases the severity of family violence, leading to higher rates of physical violence and injury. </w:t>
      </w:r>
    </w:p>
    <w:p>
      <w:pPr>
        <w:spacing w:before="240" w:after="240"/>
      </w:pPr>
      <w:hyperlink r:id="rId6" w:tgtFrame="_blank" w:history="1">
        <w:r>
          <w:rPr>
            <w:color w:val="0000EE"/>
            <w:u w:val="single" w:color="0000EE"/>
          </w:rPr>
          <w:t>Alcohol sales are also targeted at people who drink the most alcohol</w:t>
        </w:r>
      </w:hyperlink>
      <w:r>
        <w:t>, with companies selling 36 per cent of alcohol to 5 per cent of people, placing people at greater risk of harm. </w:t>
      </w:r>
    </w:p>
    <w:p>
      <w:pPr>
        <w:spacing w:before="240" w:after="240"/>
      </w:pPr>
      <w:r>
        <w:t>Acknowledging the harmful role of alcohol in family violence is an important part of this wider effort to keep women and children safe.  </w:t>
      </w:r>
    </w:p>
    <w:p>
      <w:pPr>
        <w:spacing w:before="240" w:after="240"/>
      </w:pPr>
      <w:hyperlink r:id="rId7" w:tgtFrame="_blank" w:history="1">
        <w:r>
          <w:rPr>
            <w:color w:val="0000EE"/>
            <w:u w:val="single" w:color="0000EE"/>
          </w:rPr>
          <w:t>Australian evidence shows that </w:t>
        </w:r>
      </w:hyperlink>
      <w:r>
        <w:t xml:space="preserve">the increased density of alcohol outlets, particularly packaged liquor outlets like bottle-shops, increases rates of family violence. A </w:t>
      </w:r>
      <w:hyperlink r:id="rId8" w:tgtFrame="_blank" w:history="1">
        <w:r>
          <w:rPr>
            <w:color w:val="0000EE"/>
            <w:u w:val="single" w:color="0000EE"/>
          </w:rPr>
          <w:t>further study in New South Wales</w:t>
        </w:r>
      </w:hyperlink>
      <w:r>
        <w:t> found that the extension to takeaway alcohol sales from a 10pm close to an 11pm close resulted in a statistically significant increase in domestic violence assaults, equating to 1,120 family violence assaults occurring in the 38-months after trading hours were extended. </w:t>
      </w:r>
    </w:p>
    <w:p>
      <w:pPr>
        <w:spacing w:before="240" w:after="240"/>
      </w:pPr>
      <w:r>
        <w:t>The explosion of the often-unregulated online sale and delivery of alcohol, making every phone a bottleshop, is also increasing the risk of violence. The rapid delivery of alcohol into homes in as little as 30 minutes is further exacerbating these harms. </w:t>
      </w:r>
    </w:p>
    <w:p>
      <w:pPr>
        <w:spacing w:before="240" w:after="240"/>
      </w:pPr>
      <w:r>
        <w:t>Common sense measures to regulate alcohol need to be part of the package of actions introduced to prevent violence against women and children. These measures include: </w:t>
      </w:r>
    </w:p>
    <w:p>
      <w:pPr>
        <w:numPr>
          <w:ilvl w:val="0"/>
          <w:numId w:val="1"/>
        </w:numPr>
        <w:spacing w:before="240"/>
        <w:ind w:left="720" w:hanging="210"/>
        <w:jc w:val="left"/>
      </w:pPr>
      <w:r>
        <w:t>Including the prevention of gender based and family violence as a primary object of the liquor acts in each state and territory </w:t>
      </w:r>
    </w:p>
    <w:p>
      <w:pPr>
        <w:numPr>
          <w:ilvl w:val="0"/>
          <w:numId w:val="1"/>
        </w:numPr>
        <w:ind w:left="720" w:hanging="210"/>
        <w:jc w:val="left"/>
      </w:pPr>
      <w:r>
        <w:t>Ensuring that alcohol is not sold by delivery and take-away after 10pm </w:t>
      </w:r>
    </w:p>
    <w:p>
      <w:pPr>
        <w:numPr>
          <w:ilvl w:val="0"/>
          <w:numId w:val="1"/>
        </w:numPr>
        <w:ind w:left="720" w:hanging="210"/>
        <w:jc w:val="left"/>
      </w:pPr>
      <w:r>
        <w:t>Introducing a safety pause for the delivery of alcohol of 2 hours between when alcohol is ordered and delivered  </w:t>
      </w:r>
    </w:p>
    <w:p>
      <w:pPr>
        <w:numPr>
          <w:ilvl w:val="0"/>
          <w:numId w:val="1"/>
        </w:numPr>
        <w:ind w:left="720" w:hanging="210"/>
        <w:jc w:val="left"/>
      </w:pPr>
      <w:r>
        <w:t>Regulating the density of alcohol outlets </w:t>
      </w:r>
    </w:p>
    <w:p>
      <w:pPr>
        <w:numPr>
          <w:ilvl w:val="0"/>
          <w:numId w:val="1"/>
        </w:numPr>
        <w:spacing w:after="240"/>
        <w:ind w:left="720" w:hanging="210"/>
        <w:jc w:val="left"/>
      </w:pPr>
      <w:r>
        <w:t>Addressing predatory and high-risk marketing that pushes bulk alcohol sales, including data driven marketing.</w:t>
      </w:r>
    </w:p>
    <w:p>
      <w:pPr>
        <w:spacing w:before="240" w:after="240"/>
      </w:pPr>
      <w:r>
        <w:t>We can no longer ignore the role that alcohol plays in increasing the risk and severity of violence against women and children.  </w:t>
      </w:r>
    </w:p>
    <w:p>
      <w:pPr>
        <w:spacing w:before="240" w:after="240"/>
      </w:pPr>
      <w:r>
        <w:t>Yours sincerely, </w:t>
      </w:r>
    </w:p>
    <w:p>
      <w:pPr>
        <w:spacing w:before="240" w:after="240"/>
      </w:pPr>
      <w:r>
        <w:rPr>
          <w:b/>
          <w:bCs/>
        </w:rPr>
        <w:t>Caterina Giorgi</w:t>
      </w:r>
      <w:r>
        <w:t> </w:t>
      </w:r>
      <w:r>
        <w:br/>
      </w:r>
      <w:r>
        <w:t>Chief Executive Officer </w:t>
      </w:r>
      <w:r>
        <w:br/>
      </w:r>
      <w:r>
        <w:t>Foundation for Alcohol Research and Education  </w:t>
      </w:r>
    </w:p>
    <w:p>
      <w:pPr>
        <w:spacing w:before="240" w:after="240"/>
      </w:pPr>
      <w:r>
        <w:rPr>
          <w:b/>
          <w:bCs/>
        </w:rPr>
        <w:t>Professor Jacqueline Bowden</w:t>
      </w:r>
      <w:r>
        <w:t> </w:t>
      </w:r>
      <w:r>
        <w:br/>
      </w:r>
      <w:r>
        <w:t>Director </w:t>
      </w:r>
      <w:r>
        <w:br/>
      </w:r>
      <w:r>
        <w:t>National Centre for Education and Training on Addiction </w:t>
      </w:r>
    </w:p>
    <w:p>
      <w:pPr>
        <w:spacing w:before="240" w:after="240"/>
      </w:pPr>
      <w:r>
        <w:rPr>
          <w:b/>
          <w:bCs/>
        </w:rPr>
        <w:t>Kym Valentine</w:t>
      </w:r>
      <w:r>
        <w:t> </w:t>
      </w:r>
      <w:r>
        <w:br/>
      </w:r>
      <w:r>
        <w:t>Survivor Advocate </w:t>
      </w:r>
    </w:p>
    <w:p>
      <w:pPr>
        <w:spacing w:before="240" w:after="240"/>
      </w:pPr>
      <w:r>
        <w:rPr>
          <w:b/>
          <w:bCs/>
        </w:rPr>
        <w:t>Dr Erin Lalor AM</w:t>
      </w:r>
      <w:r>
        <w:t> </w:t>
      </w:r>
      <w:r>
        <w:br/>
      </w:r>
      <w:r>
        <w:t>Chief Executive Officer </w:t>
      </w:r>
      <w:r>
        <w:br/>
      </w:r>
      <w:r>
        <w:t>Alcohol and Drug Foundation </w:t>
      </w:r>
    </w:p>
    <w:p>
      <w:pPr>
        <w:spacing w:before="240" w:after="240"/>
      </w:pPr>
      <w:r>
        <w:rPr>
          <w:b/>
          <w:bCs/>
        </w:rPr>
        <w:t>Shanna Whan</w:t>
      </w:r>
      <w:r>
        <w:t> </w:t>
      </w:r>
      <w:r>
        <w:br/>
      </w:r>
      <w:r>
        <w:t>Founder/Chief Executive Officer </w:t>
      </w:r>
      <w:r>
        <w:br/>
      </w:r>
      <w:r>
        <w:t>Sober In the Country </w:t>
      </w:r>
    </w:p>
    <w:p>
      <w:pPr>
        <w:spacing w:before="240" w:after="240"/>
      </w:pPr>
      <w:r>
        <w:rPr>
          <w:b/>
          <w:bCs/>
        </w:rPr>
        <w:t>Mrs Nicole Hewlett</w:t>
      </w:r>
      <w:r>
        <w:t> </w:t>
      </w:r>
      <w:r>
        <w:br/>
      </w:r>
      <w:r>
        <w:t>Project Manager  </w:t>
      </w:r>
      <w:r>
        <w:br/>
      </w:r>
      <w:r>
        <w:t>The University of Queensland</w:t>
      </w:r>
    </w:p>
    <w:p>
      <w:pPr>
        <w:spacing w:before="240" w:after="240"/>
      </w:pPr>
      <w:r>
        <w:rPr>
          <w:b/>
          <w:bCs/>
        </w:rPr>
        <w:t>Anita Mills</w:t>
      </w:r>
      <w:r>
        <w:t> </w:t>
      </w:r>
      <w:r>
        <w:br/>
      </w:r>
      <w:r>
        <w:t>Chief Executive Officer </w:t>
      </w:r>
      <w:r>
        <w:br/>
      </w:r>
      <w:r>
        <w:t>Alcohol Tobacco and Other Drug Association ACT (ATODA) </w:t>
      </w:r>
    </w:p>
    <w:p>
      <w:pPr>
        <w:spacing w:before="240" w:after="240"/>
      </w:pPr>
      <w:r>
        <w:rPr>
          <w:b/>
          <w:bCs/>
        </w:rPr>
        <w:t>Professor Nicole Lee</w:t>
      </w:r>
      <w:r>
        <w:t> </w:t>
      </w:r>
      <w:r>
        <w:br/>
      </w:r>
      <w:r>
        <w:t>Chief Executive Officer </w:t>
      </w:r>
      <w:r>
        <w:br/>
      </w:r>
      <w:r>
        <w:t>Hello Sunday Morning </w:t>
      </w:r>
    </w:p>
    <w:p>
      <w:pPr>
        <w:spacing w:before="240" w:after="240"/>
      </w:pPr>
      <w:r>
        <w:rPr>
          <w:b/>
          <w:bCs/>
        </w:rPr>
        <w:t>Ms Hannah Pierce</w:t>
      </w:r>
      <w:r>
        <w:t> </w:t>
      </w:r>
      <w:r>
        <w:br/>
      </w:r>
      <w:r>
        <w:t>Executive Officer </w:t>
      </w:r>
      <w:r>
        <w:br/>
      </w:r>
      <w:r>
        <w:t>Alcohol Change Australia </w:t>
      </w:r>
    </w:p>
    <w:p>
      <w:pPr>
        <w:spacing w:before="240" w:after="240"/>
      </w:pPr>
      <w:r>
        <w:rPr>
          <w:b/>
          <w:bCs/>
        </w:rPr>
        <w:t>Michael White</w:t>
      </w:r>
      <w:r>
        <w:t> </w:t>
      </w:r>
      <w:r>
        <w:br/>
      </w:r>
      <w:r>
        <w:t>Executive Officer </w:t>
      </w:r>
      <w:r>
        <w:br/>
      </w:r>
      <w:r>
        <w:t>SA Network of Drug and Alcohol Services (SANDAS) </w:t>
      </w:r>
    </w:p>
    <w:p>
      <w:pPr>
        <w:spacing w:before="240" w:after="240"/>
      </w:pPr>
      <w:r>
        <w:rPr>
          <w:b/>
          <w:bCs/>
        </w:rPr>
        <w:t>Professor Dan Lubman AM</w:t>
      </w:r>
      <w:r>
        <w:t> </w:t>
      </w:r>
      <w:r>
        <w:br/>
      </w:r>
      <w:r>
        <w:t>Director </w:t>
      </w:r>
      <w:r>
        <w:br/>
      </w:r>
      <w:r>
        <w:t>Turning Point </w:t>
      </w:r>
    </w:p>
    <w:p>
      <w:pPr>
        <w:spacing w:before="240" w:after="240"/>
      </w:pPr>
      <w:r>
        <w:rPr>
          <w:b/>
          <w:bCs/>
        </w:rPr>
        <w:t>Louise Gray</w:t>
      </w:r>
      <w:r>
        <w:t> </w:t>
      </w:r>
      <w:r>
        <w:br/>
      </w:r>
      <w:r>
        <w:t>Chief Executive Officer </w:t>
      </w:r>
      <w:r>
        <w:br/>
      </w:r>
      <w:r>
        <w:t>NOFASD Australia </w:t>
      </w:r>
    </w:p>
    <w:p>
      <w:pPr>
        <w:spacing w:before="240" w:after="240"/>
      </w:pPr>
      <w:r>
        <w:rPr>
          <w:b/>
          <w:bCs/>
        </w:rPr>
        <w:t>Dr Cassandra Wright</w:t>
      </w:r>
      <w:r>
        <w:t> </w:t>
      </w:r>
      <w:r>
        <w:br/>
      </w:r>
      <w:r>
        <w:t>Senior Research Fellow </w:t>
      </w:r>
      <w:r>
        <w:br/>
      </w:r>
      <w:r>
        <w:t>Menzies School of Health Research </w:t>
      </w:r>
    </w:p>
    <w:p>
      <w:pPr>
        <w:spacing w:before="240" w:after="240"/>
      </w:pPr>
      <w:r>
        <w:rPr>
          <w:b/>
          <w:bCs/>
        </w:rPr>
        <w:t>Adj Prof Terry Slevin</w:t>
      </w:r>
      <w:r>
        <w:t> </w:t>
      </w:r>
      <w:r>
        <w:br/>
      </w:r>
      <w:r>
        <w:t>Chief Executive Officer </w:t>
      </w:r>
      <w:r>
        <w:br/>
      </w:r>
      <w:r>
        <w:t>Public Health Association of Australia (PHAA) </w:t>
      </w:r>
    </w:p>
    <w:p>
      <w:pPr>
        <w:spacing w:before="240" w:after="240"/>
      </w:pPr>
      <w:r>
        <w:rPr>
          <w:b/>
          <w:bCs/>
        </w:rPr>
        <w:t>Scott Wilson</w:t>
      </w:r>
      <w:r>
        <w:t> </w:t>
      </w:r>
      <w:r>
        <w:br/>
      </w:r>
      <w:r>
        <w:t>Chief Executive Officer </w:t>
      </w:r>
      <w:r>
        <w:br/>
      </w:r>
      <w:r>
        <w:t>Aboriginal Drug and Alcohol Council South Australia  </w:t>
      </w:r>
    </w:p>
    <w:p>
      <w:pPr>
        <w:spacing w:before="240" w:after="240"/>
      </w:pPr>
      <w:r>
        <w:rPr>
          <w:b/>
          <w:bCs/>
        </w:rPr>
        <w:t>Clare Davies</w:t>
      </w:r>
      <w:r>
        <w:t> </w:t>
      </w:r>
      <w:r>
        <w:br/>
      </w:r>
      <w:r>
        <w:t>Chief Executive Officer </w:t>
      </w:r>
      <w:r>
        <w:br/>
      </w:r>
      <w:r>
        <w:t>SHARC </w:t>
      </w:r>
    </w:p>
    <w:p>
      <w:pPr>
        <w:spacing w:before="240" w:after="240"/>
      </w:pPr>
      <w:r>
        <w:rPr>
          <w:b/>
          <w:bCs/>
        </w:rPr>
        <w:t>Mark Powell</w:t>
      </w:r>
      <w:r>
        <w:t> </w:t>
      </w:r>
      <w:r>
        <w:br/>
      </w:r>
      <w:r>
        <w:t>Chief Executive Officer </w:t>
      </w:r>
      <w:r>
        <w:br/>
      </w:r>
      <w:r>
        <w:t>WRAD Health </w:t>
      </w:r>
    </w:p>
    <w:p>
      <w:pPr>
        <w:spacing w:before="240" w:after="240"/>
      </w:pPr>
      <w:r>
        <w:rPr>
          <w:b/>
          <w:bCs/>
        </w:rPr>
        <w:t>Chris Christoforou</w:t>
      </w:r>
      <w:r>
        <w:t> </w:t>
      </w:r>
      <w:r>
        <w:br/>
      </w:r>
      <w:r>
        <w:t>Chief Executive Officer </w:t>
      </w:r>
      <w:r>
        <w:br/>
      </w:r>
      <w:r>
        <w:t>Victorian Alcohol &amp; Drug Association </w:t>
      </w:r>
    </w:p>
    <w:p>
      <w:pPr>
        <w:spacing w:before="240" w:after="240"/>
      </w:pPr>
      <w:r>
        <w:rPr>
          <w:b/>
          <w:bCs/>
        </w:rPr>
        <w:t>Professor Simone Pettigrew</w:t>
      </w:r>
      <w:r>
        <w:t> </w:t>
      </w:r>
      <w:r>
        <w:br/>
      </w:r>
      <w:r>
        <w:t>Program Director </w:t>
      </w:r>
      <w:r>
        <w:br/>
      </w:r>
      <w:r>
        <w:t>The George Institute for Global Health </w:t>
      </w:r>
    </w:p>
    <w:p>
      <w:pPr>
        <w:spacing w:before="240" w:after="240"/>
      </w:pPr>
      <w:r>
        <w:rPr>
          <w:b/>
          <w:bCs/>
        </w:rPr>
        <w:t>Donna Ah Chee</w:t>
      </w:r>
      <w:r>
        <w:t> </w:t>
      </w:r>
      <w:r>
        <w:br/>
      </w:r>
      <w:r>
        <w:t>Chief Executive Officer </w:t>
      </w:r>
      <w:r>
        <w:br/>
      </w:r>
      <w:r>
        <w:t>Central Australian Aboriginal Congress </w:t>
      </w:r>
    </w:p>
    <w:p>
      <w:pPr>
        <w:spacing w:before="240" w:after="240"/>
      </w:pPr>
      <w:r>
        <w:rPr>
          <w:b/>
          <w:bCs/>
        </w:rPr>
        <w:t>A/Prof Kerin Fielding</w:t>
      </w:r>
      <w:r>
        <w:br/>
      </w:r>
      <w:r>
        <w:t>President</w:t>
      </w:r>
      <w:r>
        <w:br/>
      </w:r>
      <w:r>
        <w:t>Royal Australasian College of Surgeons</w:t>
      </w:r>
    </w:p>
    <w:p>
      <w:pPr>
        <w:spacing w:before="240" w:after="240"/>
      </w:pPr>
      <w:r>
        <w:rPr>
          <w:b/>
          <w:bCs/>
        </w:rPr>
        <w:t>Dr John Crozier AM CSM FRACS FRCST FACRS </w:t>
      </w:r>
      <w:r>
        <w:t> </w:t>
      </w:r>
      <w:r>
        <w:br/>
      </w:r>
      <w:r>
        <w:t>Trauma Committee </w:t>
      </w:r>
      <w:r>
        <w:br/>
      </w:r>
      <w:r>
        <w:t>Royal Australasian College of Surgeons</w:t>
      </w:r>
      <w:r>
        <w:rPr>
          <w:b/>
          <w:bCs/>
        </w:rPr>
        <w:t> </w:t>
      </w:r>
      <w:r>
        <w:t> </w:t>
      </w:r>
    </w:p>
    <w:p>
      <w:pPr>
        <w:spacing w:before="240" w:after="240"/>
      </w:pPr>
      <w:r>
        <w:rPr>
          <w:b/>
          <w:bCs/>
        </w:rPr>
        <w:t xml:space="preserve">Professor </w:t>
      </w:r>
      <w:r>
        <w:rPr>
          <w:b/>
          <w:bCs/>
        </w:rPr>
        <w:t>Elizabeth Elliott AM FAHMS FRSN</w:t>
      </w:r>
      <w:r>
        <w:t> </w:t>
      </w:r>
      <w:r>
        <w:br/>
      </w:r>
      <w:r>
        <w:t>Distinguished Professor of Paediatrics and Child Health  </w:t>
      </w:r>
      <w:r>
        <w:br/>
      </w:r>
      <w:r>
        <w:t>University of Sydney and Head, NSW Fetal Alcohol Spectrum Disorder Assessment Service </w:t>
      </w:r>
    </w:p>
    <w:p>
      <w:pPr>
        <w:spacing w:before="240" w:after="240"/>
      </w:pPr>
      <w:r>
        <w:rPr>
          <w:b/>
          <w:bCs/>
        </w:rPr>
        <w:t>Adj Prof John Boffa </w:t>
      </w:r>
      <w:r>
        <w:t> </w:t>
      </w:r>
      <w:r>
        <w:br/>
      </w:r>
      <w:r>
        <w:t>People's Action Alcohol Coalition </w:t>
      </w:r>
    </w:p>
    <w:p>
      <w:pPr>
        <w:spacing w:before="240" w:after="240"/>
      </w:pPr>
      <w:r>
        <w:rPr>
          <w:b/>
          <w:bCs/>
        </w:rPr>
        <w:t>Dr John Paterson</w:t>
      </w:r>
      <w:r>
        <w:br/>
      </w:r>
      <w:r>
        <w:t>Chief Executive Officer</w:t>
      </w:r>
      <w:r>
        <w:br/>
      </w:r>
      <w:r>
        <w:t>Aboriginal Medical Services Alliance Northern Territory</w:t>
      </w:r>
    </w:p>
    <w:p>
      <w:pPr>
        <w:spacing w:before="240" w:after="240"/>
      </w:pPr>
      <w:r>
        <w:rPr>
          <w:b/>
          <w:bCs/>
        </w:rPr>
        <w:t>Dr Dawn Casey PSM FAHA</w:t>
      </w:r>
      <w:r>
        <w:br/>
      </w:r>
      <w:r>
        <w:t>Acting CEO</w:t>
      </w:r>
      <w:r>
        <w:br/>
      </w:r>
      <w:r>
        <w:t>National Aboriginal Community Controlled Health Organisation</w:t>
      </w:r>
    </w:p>
    <w:p>
      <w:pPr>
        <w:spacing w:before="240" w:after="240"/>
      </w:pPr>
      <w:r>
        <w:rPr>
          <w:b/>
          <w:bCs/>
        </w:rPr>
        <w:t>Professor Robin Room</w:t>
      </w:r>
      <w:r>
        <w:br/>
      </w:r>
      <w:r>
        <w:t>Distinguished Professor, Centre for Alcohol Policy Research</w:t>
      </w:r>
      <w:r>
        <w:br/>
      </w:r>
      <w:r>
        <w:t>La Trobe University</w:t>
      </w:r>
    </w:p>
    <w:p>
      <w:pPr>
        <w:spacing w:before="240" w:after="240"/>
      </w:pPr>
      <w:r>
        <w:rPr>
          <w:b/>
          <w:bCs/>
        </w:rPr>
        <w:t>Dr Adam Searby</w:t>
      </w:r>
      <w:r>
        <w:br/>
      </w:r>
      <w:r>
        <w:t>President</w:t>
      </w:r>
      <w:r>
        <w:br/>
      </w:r>
      <w:r>
        <w:t>DANA</w:t>
      </w:r>
    </w:p>
    <w:p>
      <w:pPr>
        <w:spacing w:before="240" w:after="240"/>
      </w:pPr>
      <w:r>
        <w:rPr>
          <w:b/>
          <w:bCs/>
        </w:rPr>
        <w:t>Rob McPhee</w:t>
      </w:r>
      <w:r>
        <w:rPr>
          <w:b/>
          <w:bCs/>
        </w:rPr>
        <w:br/>
      </w:r>
      <w:r>
        <w:t>CEO</w:t>
      </w:r>
      <w:r>
        <w:br/>
      </w:r>
      <w:r>
        <w:t>Danila Dilba Health Service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onlinelibrary.wiley.com/doi/10.1111/dar.12925" TargetMode="External" /><Relationship Id="rId6" Type="http://schemas.openxmlformats.org/officeDocument/2006/relationships/hyperlink" Target="https://fare.org.au/wp-content/uploads/CAPR-report-Distribution-of-alcohol-use-in-Australia.pdf" TargetMode="External" /><Relationship Id="rId7" Type="http://schemas.openxmlformats.org/officeDocument/2006/relationships/hyperlink" Target="https://onlinelibrary.wiley.com/doi/10.1111/j.1360-0443.2010.03333.x" TargetMode="External" /><Relationship Id="rId8" Type="http://schemas.openxmlformats.org/officeDocument/2006/relationships/hyperlink" Target="https://www.bocsar.nsw.gov.au/Publications/CJB/2022-Report-Takeaway-alcohol-sales-and-violent-crime-CJB247.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to National Cabinet</dc:title>
  <cp:revision>0</cp:revision>
</cp:coreProperties>
</file>