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Marketing 1</w:t>
      </w:r>
    </w:p>
    <w:p>
      <w:pPr>
        <w:spacing w:before="240" w:after="240"/>
      </w:pPr>
      <w:r>
        <w:t>research in the spotlight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Addressing harmful industries’ digital marketing in Australia </w:t>
      </w:r>
    </w:p>
    <w:p>
      <w:pPr>
        <w:spacing w:before="240" w:after="240"/>
      </w:pPr>
      <w:r>
        <w:t>FARE has partnered with VicHealth to address digital marketing by companies selling and marketing harmful and unhealthy products like alcohol, gambling and unhealthy foods. The project comprises a program of policy, advocacy and research work to develop a better understanding of the impact of harmful digital marketing practices on the community, and identify potential regulatory solutions.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1</dc:title>
  <cp:revision>0</cp:revision>
</cp:coreProperties>
</file>