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How do alcohol control policies influence Australian adolescent drinking trends?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Victoria White; Cancer Council Victoria</w:t>
      </w:r>
    </w:p>
    <w:p>
      <w:pPr>
        <w:numPr>
          <w:ilvl w:val="0"/>
          <w:numId w:val="1"/>
        </w:numPr>
        <w:ind w:left="720" w:hanging="280"/>
        <w:jc w:val="left"/>
      </w:pPr>
      <w:r>
        <w:t>Denise Azar; Cancer Council Victoria</w:t>
      </w:r>
    </w:p>
    <w:p>
      <w:pPr>
        <w:numPr>
          <w:ilvl w:val="0"/>
          <w:numId w:val="1"/>
        </w:numPr>
        <w:ind w:left="720" w:hanging="280"/>
        <w:jc w:val="left"/>
      </w:pPr>
      <w:r>
        <w:t>Agatha Faulkner Cancer Council Victoria</w:t>
      </w:r>
    </w:p>
    <w:p>
      <w:pPr>
        <w:numPr>
          <w:ilvl w:val="0"/>
          <w:numId w:val="1"/>
        </w:numPr>
        <w:ind w:left="720" w:hanging="280"/>
        <w:jc w:val="left"/>
      </w:pPr>
      <w:r>
        <w:t>Sarah Durkin; Cancer Council Victoria</w:t>
      </w:r>
    </w:p>
    <w:p>
      <w:pPr>
        <w:numPr>
          <w:ilvl w:val="0"/>
          <w:numId w:val="1"/>
        </w:numPr>
        <w:ind w:left="720" w:hanging="280"/>
        <w:jc w:val="left"/>
      </w:pPr>
      <w:r>
        <w:t>Kerri Coomber; Cancer Council Victoria</w:t>
      </w:r>
    </w:p>
    <w:p>
      <w:pPr>
        <w:numPr>
          <w:ilvl w:val="0"/>
          <w:numId w:val="1"/>
        </w:numPr>
        <w:ind w:left="720" w:hanging="280"/>
        <w:jc w:val="left"/>
      </w:pPr>
      <w:r>
        <w:t>Melanie Wakefield, Cancer Council Victoria</w:t>
      </w:r>
    </w:p>
    <w:p>
      <w:pPr>
        <w:numPr>
          <w:ilvl w:val="0"/>
          <w:numId w:val="1"/>
        </w:numPr>
        <w:ind w:left="720" w:hanging="280"/>
        <w:jc w:val="left"/>
      </w:pPr>
      <w:r>
        <w:t>Tanya Chikritzhs; National Drug Research Institute, Curtin University</w:t>
      </w:r>
    </w:p>
    <w:p>
      <w:pPr>
        <w:numPr>
          <w:ilvl w:val="0"/>
          <w:numId w:val="1"/>
        </w:numPr>
        <w:ind w:left="720" w:hanging="280"/>
        <w:jc w:val="left"/>
      </w:pPr>
      <w:r>
        <w:t>Michael Livingston; Centre for Alcohol Policy Research, La Trobe University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Robin Room; Centre for Alcohol Policy Research, La Trobe University</w:t>
      </w:r>
    </w:p>
    <w:p>
      <w:pPr>
        <w:pStyle w:val="Heading2"/>
        <w:keepNext w:val="0"/>
        <w:keepLines w:val="0"/>
        <w:spacing w:before="299" w:after="299"/>
        <w:jc w:val="both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</w:pPr>
      <w:r>
        <w:t>This is the first Australian study to examine the relative influence of multiple alcohol policies, television alcohol advertising, retail alcohol outlet density and the proportion of alcohol-related articles in daily newspapers, on the drinking behaviours of adolescents.</w:t>
      </w:r>
    </w:p>
    <w:p>
      <w:pPr>
        <w:spacing w:before="240" w:after="240"/>
      </w:pPr>
      <w:r>
        <w:t>The report’s results suggest that population-based policies that attempt to restrict the availability of alcohol, reduce youth access to alcohol, and reduce alcohol advertising on television may contribute to reductions in youth drinking.</w:t>
      </w:r>
    </w:p>
    <w:p>
      <w:pPr>
        <w:pStyle w:val="Heading2"/>
        <w:keepNext w:val="0"/>
        <w:keepLines w:val="0"/>
        <w:spacing w:before="299" w:after="299"/>
        <w:jc w:val="both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Key findings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advertising on television</w:t>
      </w:r>
    </w:p>
    <w:p>
      <w:pPr>
        <w:spacing w:before="240" w:after="240"/>
      </w:pPr>
      <w:r>
        <w:t>Although the study recorded an overall decrease in alcohol advertising expenditure directed at television, the decrease may reflect a change in the marketing strategy of alcohol beverage companies, from general TV advertising to greater use of other advertising channels including the internet and sport and other sponsorships.</w:t>
      </w:r>
    </w:p>
    <w:p>
      <w:pPr>
        <w:spacing w:before="240" w:after="240"/>
      </w:pPr>
      <w:r>
        <w:t>Alcohol product advertising on television was positively related to risky youth drinking.</w:t>
      </w:r>
    </w:p>
    <w:p>
      <w:pPr>
        <w:spacing w:before="240" w:after="240"/>
      </w:pPr>
      <w:r>
        <w:t>Findings suggest that self-regulation of alcohol advertising on TV is not sufficient to stop adolescents from being exposed to these advertisements.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advertising expenditure</w:t>
      </w:r>
    </w:p>
    <w:p>
      <w:pPr>
        <w:spacing w:before="240" w:after="240"/>
      </w:pPr>
      <w:r>
        <w:t>The media channels used to advertise alcohol, and the specific alcohol products advertised changed during the study period. While there has been an overall decrease in expenditure on free-to-air television, this reflects a move to other methods of promotion such as social media, sports sponsorship, point-of-sale advertising and paid advertising at sports events.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Other alcohol advertising and availability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rPr>
          <w:i/>
          <w:iCs/>
        </w:rPr>
        <w:t>Alcohol outlet density:</w:t>
      </w:r>
      <w:r>
        <w:t xml:space="preserve"> Higher alcohol outlet density increases the likelihood of Australian adolescents engaging in past-month drinking and risky drinking behaviour.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i/>
          <w:iCs/>
        </w:rPr>
        <w:t>Alcohol in Australian newspapers:</w:t>
      </w:r>
      <w:r>
        <w:t xml:space="preserve"> The number of alcohol-related articles in major daily Australian newspapers more than doubled between 2000-2011. However, the content of these articles broadened from mainly promoting alcohol by industry spokespeople to include messages from health advocates about policy/restrictions and responsible beverage service.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rPr>
          <w:i/>
          <w:iCs/>
        </w:rPr>
        <w:t>Alcohol control policies:</w:t>
      </w:r>
      <w:r>
        <w:t xml:space="preserve"> Across four states, policy in the areas of trading hours, youth access and drink driving strengthened over the 11-year period. Adoption of policies occurred at different rates, with the greatest increase seen the drink driving domain and the smallest increase seen in the trading hours domain.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How-do-alcohol-control-policies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alcohol control policies influence Australian adolescent drinking trends?</dc:title>
  <cp:revision>0</cp:revision>
</cp:coreProperties>
</file>