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3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HOMEPAGE TOP HEADER Feb 2024 - Strategic Plan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Our Strategic Plan 2024-27</w:t>
      </w:r>
    </w:p>
    <w:p>
      <w:pPr>
        <w:spacing w:before="240" w:after="240"/>
      </w:pPr>
      <w:r>
        <w:t>Learn about how FARE will create an Australia free from alcohol harms in 2024 and beyond</w:t>
      </w:r>
      <w:r>
        <w:fldChar w:fldCharType="begin"/>
      </w:r>
      <w:r>
        <w:instrText xml:space="preserve"> HYPERLINK "https://fare.org.au/strategic-plan/"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Learn more </w:t>
      </w:r>
      <w:r>
        <w:rPr>
          <w:color w:val="0000EE"/>
          <w:u w:val="single" w:color="0000EE"/>
        </w:rPr>
        <w:fldChar w:fldCharType="end"/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HOMEPAGE TOP HEADER Feb 2024 - Strategic Plan</dc:title>
  <cp:revision>0</cp:revision>
</cp:coreProperties>
</file>