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Effectiveness of clinical supervision, provided by external clinical supervisors, of workers from a variety of practice backgrounds in AOD residential rehabilitation centres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spacing w:before="240" w:after="240"/>
        <w:jc w:val="left"/>
      </w:pPr>
      <w:r>
        <w:t>Marcel A. Koper, School of Global Studies, Social Science and Planning, RMIT University, Master of Social Work Thesis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There is an overall paucity of literature on the effectiveness of clinical supervision, provided by external clinical supervisors, of workers from a variety of practice backgrounds in the AOD context in Australia. This research makes a significant contribution by examining the factors unique to the AOD sector in Australia, as well as the factors that influence the effectiveness of supervision.</w:t>
      </w:r>
    </w:p>
    <w:p>
      <w:pPr>
        <w:spacing w:before="240" w:after="240"/>
        <w:jc w:val="left"/>
      </w:pPr>
      <w:r>
        <w:t>This study explores pertinent issues in clinical supervision that particular to an AOD context.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Effective supervision in this setting reduced stress and, subsequently, helped people feel affirmed and encouraged, to the extent of being happy and motivated. There were also flow-on effects to increased worker retention, reduced absenteeism, and greater self-esteem in work roles. These effects are examined in detail in the thesis.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Publications</w:t>
      </w:r>
    </w:p>
    <w:p>
      <w:pPr>
        <w:spacing w:before="240" w:after="240"/>
        <w:jc w:val="left"/>
      </w:pPr>
      <w:r>
        <w:t>Koper, MA 2009 Clinical supervision in the Alcohol and Other Drugs sector as conducted by external supervisors under a social work framework: Is it effective? Thesis (MSW). School of Global Studies, RMIT University.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Effectiveness-of-Clinical-Supervision-in-AOD-Residential-Rehabilitation-Centres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Effectiveness of clinical supervision, provided by external clinical supervisors, of workers from a variety of practice backgrounds in AOD residential rehabilitation centres</dc:title>
  <cp:revision>0</cp:revision>
</cp:coreProperties>
</file>