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now leading risk factor for disease and injury in young men, new data reveals  </w:t>
      </w:r>
    </w:p>
    <w:p>
      <w:pPr>
        <w:spacing w:before="240" w:after="240"/>
      </w:pPr>
      <w:r>
        <w:rPr>
          <w:i/>
          <w:iCs/>
        </w:rPr>
        <w:t>Content warning: This blog discusses alcohol-related death and disease. We recognise that these statistics represent real people – our loved ones, our neighbours, and our community – and acknowledge each life impacted and lost is a tragedy.</w:t>
      </w:r>
      <w:r>
        <w:t> </w:t>
      </w:r>
    </w:p>
    <w:p>
      <w:pPr>
        <w:spacing w:before="240" w:after="240"/>
      </w:pPr>
      <w:r>
        <w:t>New data released this week from the Australian Institute of Health and Welfare (AIHW) paints a concerning picture of the impact the alcohol industry is having on our communities. </w:t>
      </w:r>
    </w:p>
    <w:p>
      <w:pPr>
        <w:spacing w:before="240" w:after="240"/>
      </w:pPr>
      <w:r>
        <w:t xml:space="preserve">According to the AIHW </w:t>
      </w:r>
      <w:r>
        <w:rPr>
          <w:i/>
          <w:iCs/>
        </w:rPr>
        <w:t>Burden of Disease</w:t>
      </w:r>
      <w:r>
        <w:t xml:space="preserve"> data release, alcohol is now the number one risk factor for disease and injury in Australian men aged 15-44 and is the second highest risk factor for deaths of all people in this age group.  </w:t>
      </w:r>
    </w:p>
    <w:p>
      <w:pPr>
        <w:spacing w:before="240" w:after="240"/>
      </w:pPr>
      <w:r>
        <w:t>This data forms part of a series of releases this week from the AIHW, which reflect the latest rates at which alcohol is responsible for not just disease but ambulance attendances and hospitalisations. </w:t>
      </w:r>
    </w:p>
    <w:p>
      <w:pPr>
        <w:spacing w:before="240" w:after="240"/>
      </w:pPr>
      <w:r>
        <w:t>Here’s what the data tells us: </w:t>
      </w:r>
    </w:p>
    <w:p>
      <w:pPr>
        <w:numPr>
          <w:ilvl w:val="0"/>
          <w:numId w:val="1"/>
        </w:numPr>
        <w:spacing w:before="240" w:after="240"/>
        <w:ind w:left="720" w:hanging="210"/>
        <w:jc w:val="left"/>
      </w:pPr>
      <w:r>
        <w:t>There were 92,383 alcohol intoxication-related ambulance attendances in 2022 in the six states that provide data (excludes WA and SA), with a high proportion of these (over 70%) requiring transport to hospital </w:t>
      </w:r>
    </w:p>
    <w:p>
      <w:pPr>
        <w:numPr>
          <w:ilvl w:val="0"/>
          <w:numId w:val="2"/>
        </w:numPr>
        <w:spacing w:before="240" w:after="240"/>
        <w:ind w:left="720" w:hanging="210"/>
        <w:jc w:val="left"/>
      </w:pPr>
      <w:r>
        <w:t>There were 80,439 alcohol-related hospitalisations in 2022-23, with over half (52% or 42,124) requiring an overnight stay </w:t>
      </w:r>
    </w:p>
    <w:p>
      <w:pPr>
        <w:numPr>
          <w:ilvl w:val="0"/>
          <w:numId w:val="3"/>
        </w:numPr>
        <w:spacing w:before="240" w:after="240"/>
        <w:ind w:left="720" w:hanging="210"/>
        <w:jc w:val="left"/>
      </w:pPr>
      <w:r>
        <w:t>The rate of alcohol-related hospitalisations peaked in 2020-21 and has since decreased, but has not returned to pre-pandemic levels </w:t>
      </w:r>
    </w:p>
    <w:p>
      <w:pPr>
        <w:spacing w:before="240" w:after="240"/>
      </w:pPr>
      <w:r>
        <w:t xml:space="preserve">The AIHW </w:t>
      </w:r>
      <w:r>
        <w:rPr>
          <w:i/>
          <w:iCs/>
        </w:rPr>
        <w:t xml:space="preserve">Burden of Disease </w:t>
      </w:r>
      <w:r>
        <w:t>data measures the impact of living with illness and injury and dying prematurely, and has also shown alcohol use was responsible for:  </w:t>
      </w:r>
    </w:p>
    <w:p>
      <w:pPr>
        <w:numPr>
          <w:ilvl w:val="0"/>
          <w:numId w:val="4"/>
        </w:numPr>
        <w:spacing w:before="240" w:after="240"/>
        <w:ind w:left="720" w:hanging="210"/>
        <w:jc w:val="left"/>
      </w:pPr>
      <w:r>
        <w:t>39% of the burden from liver cancer, 11% of the burden from breast cancer and 13% of the burden from other cancers  </w:t>
      </w:r>
    </w:p>
    <w:p>
      <w:pPr>
        <w:numPr>
          <w:ilvl w:val="0"/>
          <w:numId w:val="5"/>
        </w:numPr>
        <w:spacing w:before="240" w:after="240"/>
        <w:ind w:left="720" w:hanging="210"/>
        <w:jc w:val="left"/>
      </w:pPr>
      <w:r>
        <w:t>20% of the burden from chronic liver disease  </w:t>
      </w:r>
    </w:p>
    <w:p>
      <w:pPr>
        <w:numPr>
          <w:ilvl w:val="0"/>
          <w:numId w:val="6"/>
        </w:numPr>
        <w:spacing w:before="240" w:after="240"/>
        <w:ind w:left="720" w:hanging="210"/>
        <w:jc w:val="left"/>
      </w:pPr>
      <w:r>
        <w:t>26% of the burden from road traffic injuries  </w:t>
      </w:r>
    </w:p>
    <w:p>
      <w:pPr>
        <w:numPr>
          <w:ilvl w:val="0"/>
          <w:numId w:val="7"/>
        </w:numPr>
        <w:spacing w:before="240" w:after="240"/>
        <w:ind w:left="720" w:hanging="210"/>
        <w:jc w:val="left"/>
      </w:pPr>
      <w:r>
        <w:t>13% of the burden from suicide and self-inflicted injuries  </w:t>
      </w:r>
    </w:p>
    <w:p>
      <w:pPr>
        <w:numPr>
          <w:ilvl w:val="0"/>
          <w:numId w:val="8"/>
        </w:numPr>
        <w:spacing w:before="240" w:after="240"/>
        <w:ind w:left="720" w:hanging="210"/>
        <w:jc w:val="left"/>
      </w:pPr>
      <w:r>
        <w:t>13% of the burden from poisoning  </w:t>
      </w:r>
    </w:p>
    <w:p>
      <w:pPr>
        <w:spacing w:before="240" w:after="240"/>
      </w:pPr>
      <w:r>
        <w:t xml:space="preserve">It is deeply troubling that despite such serious rates of harm across our communities, we continue to see the alcohol industry take advantage of a lack of regulation, particularly in online spaces, to </w:t>
      </w:r>
      <w:hyperlink r:id="rId4" w:tgtFrame="_blank" w:history="1">
        <w:r>
          <w:rPr>
            <w:color w:val="0000EE"/>
            <w:u w:val="single" w:color="0000EE"/>
          </w:rPr>
          <w:t>deploy sales tactics targeting people most at risk of harm</w:t>
        </w:r>
      </w:hyperlink>
      <w:r>
        <w:t>. </w:t>
      </w:r>
    </w:p>
    <w:p>
      <w:pPr>
        <w:spacing w:before="240" w:after="240"/>
      </w:pPr>
      <w:r>
        <w:t xml:space="preserve">At the same time, the industry body responsible for blocking gambling advertising reform is currently proposing to </w:t>
      </w:r>
      <w:hyperlink r:id="rId5" w:tgtFrame="_blank" w:history="1">
        <w:r>
          <w:rPr>
            <w:color w:val="0000EE"/>
            <w:u w:val="single" w:color="0000EE"/>
          </w:rPr>
          <w:t>extend alcohol advertising on television</w:t>
        </w:r>
      </w:hyperlink>
      <w:r>
        <w:t xml:space="preserve"> during weekends, public holidays and during school holidays. </w:t>
      </w:r>
    </w:p>
    <w:p>
      <w:pPr>
        <w:spacing w:before="240" w:after="240"/>
      </w:pPr>
      <w:r>
        <w:t>Governments across Australia can be doing more to prevent the significant harms from alcohol, including injury and death. </w:t>
      </w:r>
    </w:p>
    <w:p>
      <w:pPr>
        <w:spacing w:before="240" w:after="240"/>
      </w:pPr>
      <w:r>
        <w:t xml:space="preserve">Yet we are also seeing evidence-based alcohol harm minimisation measures such as </w:t>
      </w:r>
      <w:hyperlink r:id="rId6" w:tgtFrame="_blank" w:history="1">
        <w:r>
          <w:rPr>
            <w:color w:val="0000EE"/>
            <w:u w:val="single" w:color="0000EE"/>
          </w:rPr>
          <w:t>Minimum Unit Pricing being wound back by the newly-elected Northern Territory government</w:t>
        </w:r>
      </w:hyperlink>
      <w:r>
        <w:t xml:space="preserve">. This is in contradiction to the </w:t>
      </w:r>
      <w:hyperlink r:id="rId7" w:tgtFrame="_blank" w:history="1">
        <w:r>
          <w:rPr>
            <w:color w:val="0000EE"/>
            <w:u w:val="single" w:color="0000EE"/>
          </w:rPr>
          <w:t>commitment made by all Chief Ministers and Premiers at National Cabinet in September</w:t>
        </w:r>
      </w:hyperlink>
      <w:r>
        <w:t xml:space="preserve"> this year to address the role harmful industries like alcohol play in fuelling violence against women and children. </w:t>
      </w:r>
    </w:p>
    <w:p>
      <w:pPr>
        <w:spacing w:before="240" w:after="240"/>
      </w:pPr>
      <w:r>
        <w:t>And all of this is occurring against the backdrop of alcohol-induced deaths last year reaching their highest level this century. </w:t>
      </w:r>
    </w:p>
    <w:p>
      <w:pPr>
        <w:spacing w:before="240" w:after="240"/>
      </w:pPr>
      <w:r>
        <w:t>Heading into 2025, there is so much that can be done to help our communities to keep safe and to hold the industry that prioritises profit over people to account. </w:t>
      </w:r>
    </w:p>
    <w:p>
      <w:pPr>
        <w:spacing w:before="240" w:after="240"/>
      </w:pPr>
      <w:r>
        <w:t>We will continue to work alongside community voices, lived experience experts and health leaders to encourage state and federal governments to improve safeguards for keeping people safe and shining a light on the harmful activities of the alcohol industry. </w:t>
      </w:r>
    </w:p>
    <w:p>
      <w:pPr>
        <w:spacing w:before="240" w:after="240"/>
      </w:pPr>
      <w:r>
        <w:t>Why? Because each of these numbers represents a person whose life, loved ones and community deserve better. </w:t>
      </w:r>
    </w:p>
    <w:p>
      <w:pPr>
        <w:spacing w:before="240" w:after="240"/>
      </w:pPr>
      <w:r>
        <w:rPr>
          <w:i/>
          <w:iCs/>
        </w:rPr>
        <w:t xml:space="preserve">Support is available by calling the National Alcohol and Other Drug hotline (1800 250 015) or Lifeline (13 11 14). A full list of support services is available </w:t>
      </w:r>
      <w:hyperlink r:id="rId8" w:tgtFrame="_blank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</w:t>
      </w:r>
      <w:r>
        <w:t> </w:t>
      </w:r>
    </w:p>
    <w:p>
      <w:pPr>
        <w:spacing w:before="240" w:after="240"/>
      </w:pPr>
      <w:r>
        <w:rPr>
          <w:b/>
          <w:bCs/>
        </w:rPr>
        <w:t>Sources</w:t>
      </w:r>
      <w:r>
        <w:t> </w:t>
      </w:r>
    </w:p>
    <w:p>
      <w:pPr>
        <w:spacing w:before="240" w:after="240"/>
      </w:pPr>
      <w:r>
        <w:t xml:space="preserve">Australian Institute of Health and Welfare (2024). </w:t>
      </w:r>
      <w:hyperlink r:id="rId9" w:tgtFrame="_blank" w:history="1">
        <w:r>
          <w:rPr>
            <w:i/>
            <w:iCs/>
            <w:color w:val="0000EE"/>
            <w:u w:val="single" w:color="0000EE"/>
          </w:rPr>
          <w:t>Australian Burden of Disease Study 2024</w:t>
        </w:r>
      </w:hyperlink>
      <w:r>
        <w:rPr>
          <w:i/>
          <w:iCs/>
        </w:rPr>
        <w:t>.</w:t>
      </w:r>
      <w:r>
        <w:t>  </w:t>
      </w:r>
    </w:p>
    <w:p>
      <w:pPr>
        <w:spacing w:before="240" w:after="240"/>
      </w:pPr>
      <w:r>
        <w:t xml:space="preserve">Australian Institute of Health and Welfare (2024). </w:t>
      </w:r>
      <w:hyperlink r:id="rId10" w:tgtFrame="_blank" w:history="1">
        <w:r>
          <w:rPr>
            <w:i/>
            <w:iCs/>
            <w:color w:val="0000EE"/>
            <w:u w:val="single" w:color="0000EE"/>
          </w:rPr>
          <w:t>Alcohol, tobacco &amp; other drugs in Australia.</w:t>
        </w:r>
      </w:hyperlink>
      <w:r>
        <w:rPr>
          <w:i/>
          <w:iCs/>
        </w:rPr>
        <w:t xml:space="preserve"> </w:t>
      </w:r>
      <w:r>
        <w:t>(for alcohol-related ambulance attendances, and alcohol-related hospitalisations).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ihw.gov.au/reports/alcohol/alcohol-tobacco-other-drugs-australia/contents/about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facebook-alcohol-and-gambling-companies-target-ads-at-australians-most-at-risk-of-harm/" TargetMode="External" /><Relationship Id="rId5" Type="http://schemas.openxmlformats.org/officeDocument/2006/relationships/hyperlink" Target="https://fare.org.au/community-opposes-code-changes/" TargetMode="External" /><Relationship Id="rId6" Type="http://schemas.openxmlformats.org/officeDocument/2006/relationships/hyperlink" Target="https://fare.org.au/urgent-call-for-nt-government-to-retain-floor-price-on-alcohol-to-prioritise-health-and-safety-of-territorians/" TargetMode="External" /><Relationship Id="rId7" Type="http://schemas.openxmlformats.org/officeDocument/2006/relationships/hyperlink" Target="https://fare.org.au/fare-welcomes-national-cabinet-decision-to-act-on-alcohol-to-help-prevent-gendered-violence/" TargetMode="External" /><Relationship Id="rId8" Type="http://schemas.openxmlformats.org/officeDocument/2006/relationships/hyperlink" Target="https://fare.org.au/resources/support/" TargetMode="External" /><Relationship Id="rId9" Type="http://schemas.openxmlformats.org/officeDocument/2006/relationships/hyperlink" Target="https://www.aihw.gov.au/reports/burden-of-disease/australian-burden-of-disease-study-2024/contents/summar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now leading risk factor for disease and injury in young men, new data reveals</dc:title>
  <cp:revision>0</cp:revision>
</cp:coreProperties>
</file>