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and other drug use: Attitudes and knowledge amongst six CALD communities in Sydney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both"/>
      </w:pPr>
      <w:r>
        <w:t>Ms Connie Donato-Hunt</w:t>
      </w:r>
    </w:p>
    <w:p>
      <w:pPr>
        <w:numPr>
          <w:ilvl w:val="0"/>
          <w:numId w:val="1"/>
        </w:numPr>
        <w:ind w:left="720" w:hanging="280"/>
        <w:jc w:val="both"/>
      </w:pPr>
      <w:r>
        <w:t>Ms Sonali Munot</w:t>
      </w:r>
    </w:p>
    <w:p>
      <w:pPr>
        <w:numPr>
          <w:ilvl w:val="0"/>
          <w:numId w:val="1"/>
        </w:numPr>
        <w:ind w:left="720" w:hanging="280"/>
        <w:jc w:val="both"/>
      </w:pPr>
      <w:r>
        <w:t>Ms Michelle Black</w:t>
      </w:r>
    </w:p>
    <w:p>
      <w:pPr>
        <w:numPr>
          <w:ilvl w:val="0"/>
          <w:numId w:val="1"/>
        </w:numPr>
        <w:ind w:left="720" w:hanging="280"/>
        <w:jc w:val="both"/>
      </w:pPr>
      <w:r>
        <w:t>Ms Kelvin Chambers</w:t>
      </w:r>
    </w:p>
    <w:p>
      <w:pPr>
        <w:numPr>
          <w:ilvl w:val="0"/>
          <w:numId w:val="1"/>
        </w:numPr>
        <w:ind w:left="720" w:hanging="280"/>
        <w:jc w:val="both"/>
      </w:pPr>
      <w:r>
        <w:t>Professor Jan Copeland</w:t>
      </w:r>
    </w:p>
    <w:p>
      <w:pPr>
        <w:numPr>
          <w:ilvl w:val="0"/>
          <w:numId w:val="1"/>
        </w:numPr>
        <w:ind w:left="720" w:hanging="280"/>
        <w:jc w:val="both"/>
      </w:pPr>
      <w:r>
        <w:t>Mr Mark Cooper-Stanbury</w:t>
      </w:r>
    </w:p>
    <w:p>
      <w:pPr>
        <w:numPr>
          <w:ilvl w:val="0"/>
          <w:numId w:val="1"/>
        </w:numPr>
        <w:spacing w:after="240"/>
        <w:ind w:left="720" w:hanging="280"/>
        <w:jc w:val="both"/>
      </w:pPr>
      <w:r>
        <w:t>Mr Chris Rissel</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Drug and Alcohol Multicultural Education Centre (DAMEC) conducted follow-up studies on a similar mid-1990's study regarding the use of, attitudes towards, and knowledge of alcohol, tobacco and other drugs (ATOD) among six culturally and linguistically diverse communities: Chinese, Vietnamese, Spanish, Italian, Pasifika and Arabic-speaking. The 1990s study looked at the Greek-speaking rather than the Pasifika community.</w:t>
      </w:r>
    </w:p>
    <w:p>
      <w:pPr>
        <w:spacing w:before="240" w:after="240"/>
        <w:jc w:val="left"/>
      </w:pPr>
      <w:r>
        <w:t>The objectives of this study are to identify any major changes in ATOD use, attitudes, and knowledge as well as to identify the degree to which demographic factors and acculturation are predictors of ATOD use. In addition, the study intends to provide insight into the contexts for ATOD use with established and emerging ethnic communities; and to provide baseline data to inform the development of smaller scale qualitative and quantitative projects for the development of targeted health promotion campaigns.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study found that abstinence and low risk drinking were significantly more prevalent than risky or high risk drinking across the six CALD communities studied.</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Evaluation-Repor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other drug use: Attitudes and knowledge amongst six CALD communities in Sydney</dc:title>
  <cp:revision>0</cp:revision>
</cp:coreProperties>
</file>