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2020_RESEARCH_LIBRARY</w:t>
      </w:r>
    </w:p>
    <w:p>
      <w:pPr>
        <w:spacing w:before="240" w:after="240"/>
      </w:pPr>
      <w:r>
        <w:t xml:space="preserve">The Foundation collaborates with a range of universities and institutes to conduct leading alcohol research. FARE has invested more than $20 million to furthering alcohol and inhalant misuse research in Australia. We continue to support investigator led research and commissioned research in areas that assist with furthering our </w:t>
      </w:r>
      <w:hyperlink r:id="rId4" w:tooltip="Alcohol Policy" w:history="1">
        <w:r>
          <w:rPr>
            <w:color w:val="0000EE"/>
            <w:u w:val="single" w:color="0000EE"/>
          </w:rPr>
          <w:t>policy priorities</w:t>
        </w:r>
      </w:hyperlink>
      <w:r>
        <w:t>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Featured Research Paper</w:t>
      </w:r>
    </w:p>
    <w:p>
      <w:r>
        <w:rPr>
          <w:strike w:val="0"/>
          <w:u w:val="none"/>
        </w:rPr>
        <w:drawing>
          <wp:inline>
            <wp:extent cx="5943600" cy="3962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Latest Research Papers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policy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2020_RESEARCH_LIBRARY</dc:title>
  <cp:revision>0</cp:revision>
</cp:coreProperties>
</file>