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2020_NEWS_1</w:t>
      </w:r>
    </w:p>
    <w:p>
      <w:pPr>
        <w:pStyle w:val="Heading4"/>
        <w:keepNext w:val="0"/>
        <w:keepLines w:val="0"/>
        <w:spacing w:before="319" w:after="319"/>
        <w:ind w:left="600" w:right="600"/>
        <w:rPr>
          <w:b/>
          <w:bCs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iCs w:val="0"/>
            <w:color w:val="0000EE"/>
            <w:u w:val="single" w:color="0000EE"/>
          </w:rPr>
          <w:t>Vic alcohol support demand rise amid COVID</w:t>
        </w:r>
      </w:hyperlink>
    </w:p>
    <w:p>
      <w:pPr>
        <w:spacing w:before="240" w:after="240"/>
        <w:ind w:left="600" w:right="600"/>
      </w:pPr>
      <w:r>
        <w:t>Victoria's alcohol services have experienced a surge in demand as many locked-down residents turned to the bottle, a new poll shows. The Victorian Alcohol and Drug Association surveyed services across the state between December and January to gauge the impact of the COVID-19 pandemic on client presentations.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7news.com.au/lifestyle/health-wellbeing/vic-alcohol-support-demand-rise-amid-covid-c-283534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2020_NEWS_1</dc:title>
  <cp:revision>0</cp:revision>
</cp:coreProperties>
</file>