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2020_ABOUT_PAGE</w:t>
      </w:r>
    </w:p>
    <w:p>
      <w:r>
        <w:rPr>
          <w:strike w:val="0"/>
          <w:u w:val="none"/>
        </w:rPr>
        <w:drawing>
          <wp:inline>
            <wp:extent cx="19050000" cy="11715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9050000" cy="11715750"/>
                    </a:xfrm>
                    <a:prstGeom prst="rect">
                      <a:avLst/>
                    </a:prstGeom>
                  </pic:spPr>
                </pic:pic>
              </a:graphicData>
            </a:graphic>
          </wp:inline>
        </w:drawing>
      </w:r>
      <w:r>
        <w:t xml:space="preserve"> </w:t>
      </w:r>
    </w:p>
    <w:p>
      <w:pPr>
        <w:spacing w:before="240" w:after="240"/>
      </w:pPr>
      <w:r>
        <w:t>The Foundation for Alcohol Research and Education (FARE) is an independent, not-for-profit organisation working to stop the harm caused by alcohol.</w:t>
      </w:r>
    </w:p>
    <w:p>
      <w:pPr>
        <w:spacing w:before="240" w:after="240"/>
      </w:pPr>
      <w:r>
        <w:t>Alcohol harm in Australia is significant. Nearly 6,000 lives are lost every year and more than 144,000 people hospitalised, making alcohol one of our nation’s greatest preventive health challenges. The devastation doesn’t stop there; the high personal and financial toll extends well beyond the individual drinker. Each year nearly 400 people die, and 70,000 Australians are victims of alcohol-related assaults, including 24,000 victims of alcohol-related domestic violence. All these harms cost the nation an estimated $36 billion annually.</w:t>
      </w:r>
    </w:p>
    <w:p>
      <w:pPr>
        <w:spacing w:before="240" w:after="240"/>
      </w:pPr>
      <w:r>
        <w:rPr>
          <w:strike w:val="0"/>
          <w:u w:val="none"/>
        </w:rPr>
        <w:drawing>
          <wp:inline>
            <wp:extent cx="4762500" cy="952500"/>
            <wp:docPr id="100003" name="" descr="blue-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4762500" cy="952500"/>
                    </a:xfrm>
                    <a:prstGeom prst="rect">
                      <a:avLst/>
                    </a:prstGeom>
                  </pic:spPr>
                </pic:pic>
              </a:graphicData>
            </a:graphic>
          </wp:inline>
        </w:drawing>
      </w:r>
      <w:r>
        <w:t xml:space="preserve"> </w:t>
      </w:r>
    </w:p>
    <w:p>
      <w:pPr>
        <w:spacing w:before="240" w:after="240"/>
      </w:pPr>
      <w:r>
        <w:t>FARE has been working since 2001 with communities, governments, health professionals and police across the country to stop alcohol harms by supporting world-leading research, raising public awareness and advocating for changes to alcohol policy.</w:t>
      </w:r>
    </w:p>
    <w:p>
      <w:pPr>
        <w:spacing w:before="240" w:after="240"/>
      </w:pPr>
      <w:r>
        <w:t>As far as we have come in raising the awareness of the immense impact that alcohol misuse has on so many Australians, and in advocating for evidence based policy measures to address the harm, a great deal of work remains to be done.</w:t>
      </w:r>
    </w:p>
    <w:p>
      <w:pPr>
        <w:spacing w:before="240" w:after="240"/>
      </w:pPr>
      <w:r>
        <w:t>FARE doesn’t shy away from that challenge.</w:t>
      </w:r>
    </w:p>
    <w:p>
      <w:pPr>
        <w:spacing w:before="240" w:after="240"/>
      </w:pPr>
      <w:r>
        <w:t>Indeed, our new vision, Stopping harm caused by alcohol, better describes the sharp focus, determination and commitment of this organisation.</w:t>
      </w:r>
    </w:p>
    <w:p>
      <w:pPr>
        <w:spacing w:before="240" w:after="240"/>
      </w:pPr>
      <w:r>
        <w:rPr>
          <w:color w:val="0000EE"/>
          <w:u w:val="single" w:color="0000EE"/>
        </w:rPr>
        <w:t>Our strategic focus</w:t>
      </w:r>
      <w:r>
        <w:t xml:space="preserve"> </w:t>
      </w:r>
    </w:p>
    <w:p>
      <w:pPr>
        <w:spacing w:before="240" w:after="240"/>
      </w:pPr>
      <w:r>
        <w:t>FARE’s 2017-2022 Strategic Plan clearly outlines our organisation’s goals for the five years ahead.</w:t>
      </w:r>
    </w:p>
    <w:p>
      <w:pPr>
        <w:spacing w:before="240" w:after="240"/>
      </w:pPr>
      <w:r>
        <w:t>FARE will continue to lead change, mobilising communities and organisations across the country to work together to stop harm caused by alcohol, will continue to develop and advocate for policies and programs that work, and continue to defend the public interest and hold the alcohol industry to account. We will undertake and communicate world-leading research, and invest in the future to ensure FARE remains a world class organisation that can bring about social change.</w:t>
      </w:r>
    </w:p>
    <w:p>
      <w:pPr>
        <w:spacing w:before="240" w:after="240"/>
      </w:pPr>
      <w:r>
        <w:t>FARE will continue to work collaboratively, because we know that together we can reverse the trend and see fewer children and families negatively affected by alcohol.</w:t>
      </w:r>
    </w:p>
    <w:p>
      <w:pPr>
        <w:spacing w:before="240" w:after="240"/>
      </w:pPr>
      <w:r>
        <w:t>We will raise funds to build the knowledge base about alcohol, to better understand what works to address the complex problems caused by alcohol, and to support Australian communities respond to alcohol misuse.</w:t>
      </w:r>
    </w:p>
    <w:p>
      <w:pPr>
        <w:spacing w:before="240" w:after="240"/>
      </w:pPr>
      <w:r>
        <w:t>We will be guided by the World Health Organization’s Global Strategy to Reduce the Harmful Use of Alcohol for tackling alcohol-related harms through population-based strategies, problem directed policies, and direct interventions.</w:t>
      </w:r>
    </w:p>
    <w:p>
      <w:pPr>
        <w:spacing w:before="240" w:after="240"/>
      </w:pPr>
      <w:r>
        <w:t>We welcome your interest in our organisation and your shared concern about alcohol harm and invite you to join with us in creating healthier and safer communities.</w:t>
      </w:r>
    </w:p>
    <w:p>
      <w:pPr>
        <w:spacing w:before="240" w:after="240"/>
      </w:pPr>
      <w:r>
        <w:t>View FARE’s Strategic Plan 2017-2022</w:t>
      </w:r>
    </w:p>
    <w:p>
      <w:pPr>
        <w:rPr>
          <w:color w:val="0000EE"/>
          <w:u w:val="single" w:color="0000EE"/>
        </w:rPr>
      </w:pPr>
      <w:r>
        <w:rPr>
          <w:color w:val="0000EE"/>
          <w:u w:val="single" w:color="0000EE"/>
        </w:rPr>
        <w:t>Funding structure</w:t>
      </w:r>
      <w:r>
        <w:t xml:space="preserve"> </w:t>
      </w:r>
    </w:p>
    <w:p>
      <w:pPr>
        <w:spacing w:before="240" w:after="240"/>
      </w:pPr>
      <w:r>
        <w:t>The Foundation has set up an endowment fund (Capital Fund) to support our work in helping communities and our strategic policy priorities. Our investment income supports the Foundation’s annual operational costs.</w:t>
      </w:r>
    </w:p>
    <w:p>
      <w:pPr>
        <w:spacing w:before="240" w:after="240"/>
      </w:pPr>
      <w:r>
        <w:t>100 per cent of all funds provided to the Foundation via corporate partnerships, donations and bequests are paid into the Capital Fund to support our work. None of these funds are spent on operational or fundraising activities.</w:t>
      </w:r>
    </w:p>
    <w:p>
      <w:pPr>
        <w:spacing w:before="240" w:after="240"/>
      </w:pPr>
      <w:r>
        <w:t>The Foundation is a member of the Fundraising Institute of Australia (FIA). As members we adhere to the Principles and Standards of Fundraising Practice, the charity code of conduct that guides ethical, and accountable and transparent fundraising. The principles and standards are critical to how the fundraising profession is viewed by donors, government, the wider community and fundraisers.</w:t>
      </w:r>
    </w:p>
    <w:p>
      <w:pPr>
        <w:spacing w:before="240" w:after="240"/>
      </w:pPr>
      <w:r>
        <w:t>We also adhere to legislation concerning our appeals, community fundraising, and face-to-face fundraising.</w:t>
      </w:r>
    </w:p>
    <w:p>
      <w:pPr>
        <w:numPr>
          <w:ilvl w:val="0"/>
          <w:numId w:val="1"/>
        </w:numPr>
        <w:spacing w:before="240"/>
        <w:ind w:left="720" w:hanging="210"/>
        <w:jc w:val="left"/>
      </w:pPr>
      <w:r>
        <w:t>Corporations Act 2001</w:t>
      </w:r>
    </w:p>
    <w:p>
      <w:pPr>
        <w:numPr>
          <w:ilvl w:val="0"/>
          <w:numId w:val="1"/>
        </w:numPr>
        <w:ind w:left="720" w:hanging="210"/>
        <w:jc w:val="left"/>
      </w:pPr>
      <w:r>
        <w:t>Privacy Act 1988 &amp; Australian Privacy Principles of the Privacy</w:t>
      </w:r>
    </w:p>
    <w:p>
      <w:pPr>
        <w:numPr>
          <w:ilvl w:val="0"/>
          <w:numId w:val="1"/>
        </w:numPr>
        <w:ind w:left="720" w:hanging="210"/>
        <w:jc w:val="left"/>
      </w:pPr>
      <w:r>
        <w:t>Amendment (Enhancing Privacy Protection) Act 2012</w:t>
      </w:r>
    </w:p>
    <w:p>
      <w:pPr>
        <w:numPr>
          <w:ilvl w:val="0"/>
          <w:numId w:val="1"/>
        </w:numPr>
        <w:ind w:left="720" w:hanging="210"/>
        <w:jc w:val="left"/>
      </w:pPr>
      <w:r>
        <w:t>Charitable Fundraising Act (and the relevant Charitable and</w:t>
      </w:r>
    </w:p>
    <w:p>
      <w:pPr>
        <w:numPr>
          <w:ilvl w:val="0"/>
          <w:numId w:val="1"/>
        </w:numPr>
        <w:ind w:left="720" w:hanging="210"/>
        <w:jc w:val="left"/>
      </w:pPr>
      <w:r>
        <w:t>Collections Acts in QLD, WA, SA, the NT, the ACT and VIC)</w:t>
      </w:r>
    </w:p>
    <w:p>
      <w:pPr>
        <w:numPr>
          <w:ilvl w:val="0"/>
          <w:numId w:val="1"/>
        </w:numPr>
        <w:ind w:left="720" w:hanging="210"/>
        <w:jc w:val="left"/>
      </w:pPr>
      <w:r>
        <w:t>Australian Charities and Not-for-profits Commission Act 2012</w:t>
      </w:r>
    </w:p>
    <w:p>
      <w:pPr>
        <w:numPr>
          <w:ilvl w:val="0"/>
          <w:numId w:val="1"/>
        </w:numPr>
        <w:ind w:left="720" w:hanging="210"/>
        <w:jc w:val="left"/>
      </w:pPr>
      <w:r>
        <w:t>Charities Act 2013</w:t>
      </w:r>
    </w:p>
    <w:p>
      <w:pPr>
        <w:numPr>
          <w:ilvl w:val="0"/>
          <w:numId w:val="1"/>
        </w:numPr>
        <w:ind w:left="720" w:hanging="210"/>
        <w:jc w:val="left"/>
      </w:pPr>
      <w:r>
        <w:t>Trade Practices Act</w:t>
      </w:r>
    </w:p>
    <w:p>
      <w:pPr>
        <w:numPr>
          <w:ilvl w:val="0"/>
          <w:numId w:val="1"/>
        </w:numPr>
        <w:spacing w:after="240"/>
        <w:ind w:left="720" w:hanging="210"/>
        <w:jc w:val="left"/>
      </w:pPr>
      <w:r>
        <w:t>Payment Card Industry (PCI) Data Security Standard (PCI DSS)</w:t>
      </w:r>
    </w:p>
    <w:p>
      <w:pPr>
        <w:spacing w:before="240" w:after="240"/>
      </w:pPr>
      <w:r>
        <w:t>View FARE’s annual reports and financial statements</w:t>
      </w:r>
    </w:p>
    <w:p>
      <w:r>
        <w:rPr>
          <w:strike w:val="0"/>
          <w:u w:val="none"/>
        </w:rPr>
        <w:drawing>
          <wp:inline>
            <wp:extent cx="20116800" cy="20116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20116800" cy="20116800"/>
                    </a:xfrm>
                    <a:prstGeom prst="rect">
                      <a:avLst/>
                    </a:prstGeom>
                  </pic:spPr>
                </pic:pic>
              </a:graphicData>
            </a:graphic>
          </wp:inline>
        </w:drawing>
      </w:r>
      <w:r>
        <w:t xml:space="preserve"> </w:t>
      </w:r>
      <w:r>
        <w:rPr>
          <w:strike w:val="0"/>
          <w:u w:val="none"/>
        </w:rPr>
        <w:drawing>
          <wp:inline>
            <wp:extent cx="5943600" cy="39624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5943600" cy="3962400"/>
                    </a:xfrm>
                    <a:prstGeom prst="rect">
                      <a:avLst/>
                    </a:prstGeom>
                  </pic:spPr>
                </pic:pic>
              </a:graphicData>
            </a:graphic>
          </wp:inline>
        </w:drawing>
      </w:r>
      <w:r>
        <w:t xml:space="preserve"> </w:t>
      </w:r>
      <w:r>
        <w:rPr>
          <w:strike w:val="0"/>
          <w:u w:val="none"/>
        </w:rPr>
        <w:drawing>
          <wp:inline>
            <wp:extent cx="5943600" cy="3962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7"/>
                    <a:stretch>
                      <a:fillRect/>
                    </a:stretch>
                  </pic:blipFill>
                  <pic:spPr>
                    <a:xfrm>
                      <a:off x="0" y="0"/>
                      <a:ext cx="5943600" cy="39624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mailing list</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2020_ABOUT_PAGE</dc:title>
  <cp:revision>0</cp:revision>
</cp:coreProperties>
</file>