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2017 Queensland poll: Perspectives on alcohol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numPr>
          <w:ilvl w:val="0"/>
          <w:numId w:val="1"/>
        </w:numPr>
        <w:spacing w:before="240" w:after="240"/>
        <w:ind w:left="720" w:hanging="280"/>
        <w:jc w:val="both"/>
      </w:pPr>
      <w:r>
        <w:t>Galaxy Research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</w:pPr>
      <w:r>
        <w:t>The Foundation for Alcohol Research and Education (FARE) commissioned Galaxy Research to undertake polling of Queenslanders to gain an understanding of their perspectives on alcohol policies.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</w:pPr>
      <w:r>
        <w:t>Key findings: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Almost three quarters (72%) of Queenslanders support the late night trading measures introduced by the Queensland Government in July 2016 to reduce alcohol-related violence.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(64%) believe the Queensland Government should honour its election commitment and introduce 1am lockouts for venues located within approved 3am safe night precincts.</w:t>
      </w:r>
    </w:p>
    <w:p>
      <w:pPr>
        <w:numPr>
          <w:ilvl w:val="0"/>
          <w:numId w:val="2"/>
        </w:numPr>
        <w:ind w:left="720" w:hanging="210"/>
        <w:jc w:val="left"/>
      </w:pPr>
      <w:r>
        <w:t>80% of Queenslanders believe that Australia has a problem with excess drinking or alcohol abuse.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(81%) believe that more needs to be done to reduce the harm caused by alcohol-related illness, injury, death and related issues.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Queenslanders do not believe that governments (66%), alcohol companies (71%) and pubs and clubs (67%) are doing enough to address alcohol misuse. The proportion of</w:t>
      </w:r>
    </w:p>
    <w:p>
      <w:pPr>
        <w:numPr>
          <w:ilvl w:val="0"/>
          <w:numId w:val="2"/>
        </w:numPr>
        <w:ind w:left="720" w:hanging="210"/>
        <w:jc w:val="left"/>
      </w:pPr>
      <w:r>
        <w:t>Queenslanders who hold the belief that governments are not doing enough to address alcohol misuse has increased since 2016.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Two in five Queenslanders have been affected by alcohol-related violence (40%), an increase from 29% in 2016.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view the media release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fare.org.au/wp-content/uploads/2017-Queensland-Poll-Perspectives-on-alcohol.pdf" TargetMode="External" /><Relationship Id="rId5" Type="http://schemas.openxmlformats.org/officeDocument/2006/relationships/hyperlink" Target="https://fare.org.au/its-a-lock-majority-of-queenslanders-want-government-to-honour-commitment-to-reduce-alcohol-violence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 Queensland poll: Perspectives on alcohol</dc:title>
  <cp:revision>0</cp:revision>
</cp:coreProperties>
</file>