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2016 Australian Capital Territory poll: Support for 3am last drinks and perceptions of safety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both"/>
      </w:pPr>
      <w:r>
        <w:t>ReachTEL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The Foundation for Alcohol Research and Education (FARE) commissioned ReachTEL to undertake polling of Australian Capital Territory (ACT) residents to gain an understanding on attitudes towards alcohol, perceptions of safety and support for trading hour 'last drinks' policies.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Key findings:</w:t>
      </w:r>
    </w:p>
    <w:p>
      <w:pPr>
        <w:numPr>
          <w:ilvl w:val="0"/>
          <w:numId w:val="2"/>
        </w:numPr>
        <w:spacing w:before="240"/>
        <w:ind w:left="720" w:hanging="210"/>
        <w:jc w:val="left"/>
      </w:pPr>
      <w:r>
        <w:t>A majority (65.5%) of ACT residents support the ACT Government’s recent proposal to introduce 3am last drinks for pubs, clubs and bars across the ACT.</w:t>
      </w:r>
    </w:p>
    <w:p>
      <w:pPr>
        <w:numPr>
          <w:ilvl w:val="0"/>
          <w:numId w:val="2"/>
        </w:numPr>
        <w:ind w:left="720" w:hanging="210"/>
        <w:jc w:val="left"/>
      </w:pPr>
      <w:r>
        <w:t>There is strong support for 3am last drinks across all age groups: 18 to 34 year olds (50.2%), 35 to 50 year olds (69.9%), 51 to 65 year olds (81.6%) and those over 65 (71.3%).</w:t>
      </w:r>
    </w:p>
    <w:p>
      <w:pPr>
        <w:numPr>
          <w:ilvl w:val="0"/>
          <w:numId w:val="2"/>
        </w:numPr>
        <w:ind w:left="720" w:hanging="210"/>
        <w:jc w:val="left"/>
      </w:pPr>
      <w:r>
        <w:t>Nearly 40 per cent (39.9%) of ACT residents consider built-up areas in and around the city centre, Civic, to be unsafe or very unsafe on a Saturday night.</w:t>
      </w:r>
    </w:p>
    <w:p>
      <w:pPr>
        <w:numPr>
          <w:ilvl w:val="0"/>
          <w:numId w:val="2"/>
        </w:numPr>
        <w:spacing w:after="240"/>
        <w:ind w:left="720" w:hanging="210"/>
        <w:jc w:val="left"/>
      </w:pPr>
      <w:r>
        <w:t>Respondents who report feeling unsafe or very unsafe in Civic are most likely to cite people affected by alcohol (36.2%) as the factor that contributes to this, almost double the proportion of residents who select people affected by drugs (20.1%).</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2016-ACT-Poll-Perspectives-on-alcohol.pdf" TargetMode="External" /><Relationship Id="rId5" Type="http://schemas.openxmlformats.org/officeDocument/2006/relationships/hyperlink" Target="https://fare.org.au/poll-overwhelming-majority-of-act-residents-support-3am-last-drink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Australian Capital Territory poll: Support for 3am last drinks and perceptions of safety</dc:title>
  <cp:revision>0</cp:revision>
</cp:coreProperties>
</file>