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2012-13 Pre-budget submission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2012-01-25 15:14:44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Policy submissions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FARE's submission to the Treasury outlines five areas for consideration during the 2012-13 Commonwealth Budget process that will reduce the substantial costs caused by alcohol-related harms.</w:t>
      </w:r>
    </w:p>
    <w:p>
      <w:pPr>
        <w:spacing w:before="240" w:after="240"/>
      </w:pPr>
      <w:r>
        <w:t>FARE's submission to the Treasury outlines five areas for consideration during the 2012-13 Commonwealth Budget process that will reduce the substantial costs caused by alcohol-related harms.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Recommendations</w:t>
      </w:r>
    </w:p>
    <w:p>
      <w:pPr>
        <w:spacing w:before="240" w:after="240"/>
      </w:pPr>
      <w:r>
        <w:t>FARE called for the government to take action in five key areas to: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Reform alcohol taxation immediately.</w:t>
      </w:r>
      <w:r>
        <w:br/>
      </w:r>
      <w:r>
        <w:t>Immediately replace the WET with a volumetric tax.</w:t>
      </w:r>
      <w:r>
        <w:br/>
      </w:r>
      <w:r>
        <w:t>Work with the state and territory governments to mandate the collection of alcohol sales data to be used in prioritising further reform.</w:t>
      </w:r>
      <w:r>
        <w:br/>
      </w:r>
      <w:r>
        <w:t>Carry out an analysis of the alcohol taxation system and develop and implement a longer term plan for alcohol taxation reform.</w:t>
      </w:r>
    </w:p>
    <w:p>
      <w:pPr>
        <w:numPr>
          <w:ilvl w:val="0"/>
          <w:numId w:val="1"/>
        </w:numPr>
        <w:ind w:left="720" w:hanging="280"/>
        <w:jc w:val="left"/>
      </w:pPr>
      <w:r>
        <w:t>Invest in a comprehensive public education campaign based on the NHMRC Guidelines to Reduce the Health Risks from Drinking.</w:t>
      </w:r>
      <w:r>
        <w:br/>
      </w:r>
      <w:r>
        <w:t>Use a broad range of media to promote messages targeted at the general public, women of child-bearing age and their partners, and people in the community identified as being at risk of alcohol dependence.</w:t>
      </w:r>
      <w:r>
        <w:br/>
      </w:r>
      <w:r>
        <w:t>Include specific materials and training on the NHMRC Guidelines for health professionals including general practitioners, nurses, psychologists and alcohol and other drug workers .</w:t>
      </w:r>
      <w:r>
        <w:br/>
      </w:r>
      <w:r>
        <w:t>Be implemented in partnership with local organisations such as Medicare Locals to ensure effective promotion of the campaign at the community level.</w:t>
      </w:r>
    </w:p>
    <w:p>
      <w:pPr>
        <w:numPr>
          <w:ilvl w:val="0"/>
          <w:numId w:val="1"/>
        </w:numPr>
        <w:ind w:left="720" w:hanging="280"/>
        <w:jc w:val="left"/>
      </w:pPr>
      <w:r>
        <w:t>Fund the development and implementation of a national plan for Fetal Alcohol Spectrum Disorders (FASD).</w:t>
      </w:r>
      <w:r>
        <w:br/>
      </w:r>
      <w:r>
        <w:t>A national prevalence study that documents the number of new and existing cases of FASD in Australia.</w:t>
      </w:r>
      <w:r>
        <w:br/>
      </w:r>
      <w:r>
        <w:t>The development of, and training in, the use of a standardised diagnostic tool to assist health professionals in diagnosing FASD.</w:t>
      </w:r>
      <w:r>
        <w:br/>
      </w:r>
      <w:r>
        <w:t>Provide support to people with FASD, their families and carers.</w:t>
      </w:r>
    </w:p>
    <w:p>
      <w:pPr>
        <w:numPr>
          <w:ilvl w:val="0"/>
          <w:numId w:val="1"/>
        </w:numPr>
        <w:ind w:left="720" w:hanging="280"/>
        <w:jc w:val="left"/>
      </w:pPr>
      <w:r>
        <w:t>Build Australia's capacity to produce timely, evidence-based alcohol research and policy.</w:t>
      </w:r>
      <w:r>
        <w:br/>
      </w:r>
      <w:r>
        <w:t>Fund an Australian Burden of Disease Study.</w:t>
      </w:r>
      <w:r>
        <w:br/>
      </w:r>
      <w:r>
        <w:t>Fund robust and comprehensive economic modelling that provides reliable estimates of the social costs of alcohol consumption and the price points at which consumption patterns change.</w:t>
      </w:r>
      <w:r>
        <w:br/>
      </w:r>
      <w:r>
        <w:t>Fund an updated ‘Harm to Others’ study in Australia.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t>Recapitalise FARE.</w:t>
      </w:r>
    </w:p>
    <w:p>
      <w:hyperlink r:id="rId4" w:tgtFrame="_blank" w:history="1">
        <w:r>
          <w:rPr>
            <w:color w:val="0000EE"/>
            <w:u w:val="single" w:color="0000EE"/>
          </w:rPr>
          <w:t>view the submission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wp-content/uploads/FARE-2012-13-Pre-Budget-Submission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2012-13 Pre-budget submission</dc:title>
  <cp:revision>0</cp:revision>
</cp:coreProperties>
</file>